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pacing w:lineRule="auto" w:line="360"/>
        <w:jc w:val="center"/>
        <w:rPr>
          <w:rFonts w:ascii="Calibri" w:hAnsi="Calibri" w:asciiTheme="minorHAnsi" w:hAnsiTheme="minorHAnsi"/>
          <w:b/>
          <w:b/>
          <w:sz w:val="22"/>
          <w:szCs w:val="22"/>
        </w:rPr>
      </w:pPr>
      <w:r>
        <w:rPr>
          <w:rFonts w:ascii="Calibri" w:hAnsi="Calibri" w:asciiTheme="minorHAnsi" w:hAnsiTheme="minorHAnsi"/>
          <w:b/>
          <w:sz w:val="22"/>
          <w:szCs w:val="22"/>
        </w:rPr>
        <w:t>NOTA TÉCNICA CONJUNTA Nº 01/2016DAS-DVS/DST/AIDS/HV</w:t>
      </w:r>
    </w:p>
    <w:p>
      <w:pPr>
        <w:pStyle w:val="Normal"/>
        <w:spacing w:lineRule="auto" w:line="360"/>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360"/>
        <w:rPr>
          <w:rFonts w:ascii="Calibri" w:hAnsi="Calibri" w:asciiTheme="minorHAnsi" w:hAnsiTheme="minorHAnsi"/>
          <w:sz w:val="22"/>
          <w:szCs w:val="22"/>
          <w:u w:val="single"/>
        </w:rPr>
      </w:pPr>
      <w:r>
        <w:rPr>
          <w:rFonts w:ascii="Calibri" w:hAnsi="Calibri" w:asciiTheme="minorHAnsi" w:hAnsiTheme="minorHAnsi"/>
          <w:b/>
          <w:sz w:val="22"/>
          <w:szCs w:val="22"/>
          <w:u w:val="single"/>
        </w:rPr>
        <w:t>Assunto:</w:t>
      </w:r>
      <w:r>
        <w:rPr>
          <w:rFonts w:ascii="Calibri" w:hAnsi="Calibri" w:asciiTheme="minorHAnsi" w:hAnsiTheme="minorHAnsi"/>
          <w:sz w:val="22"/>
          <w:szCs w:val="22"/>
          <w:u w:val="single"/>
        </w:rPr>
        <w:t xml:space="preserve"> Dispensação de Penicilina G Benzatina no Município de Maceió</w:t>
      </w:r>
    </w:p>
    <w:p>
      <w:pPr>
        <w:pStyle w:val="Normal"/>
        <w:spacing w:lineRule="auto" w:line="360"/>
        <w:jc w:val="both"/>
        <w:rPr>
          <w:rFonts w:ascii="Calibri" w:hAnsi="Calibri" w:asciiTheme="minorHAnsi" w:hAnsiTheme="minorHAnsi"/>
          <w:sz w:val="22"/>
          <w:szCs w:val="22"/>
          <w:u w:val="single"/>
        </w:rPr>
      </w:pPr>
      <w:r>
        <w:rPr>
          <w:rFonts w:asciiTheme="minorHAnsi" w:hAnsiTheme="minorHAnsi" w:ascii="Calibri" w:hAnsi="Calibri"/>
          <w:sz w:val="22"/>
          <w:szCs w:val="22"/>
          <w:u w:val="single"/>
        </w:rPr>
      </w:r>
    </w:p>
    <w:p>
      <w:pPr>
        <w:pStyle w:val="Normal"/>
        <w:spacing w:lineRule="auto" w:line="360"/>
        <w:ind w:firstLine="708"/>
        <w:jc w:val="both"/>
        <w:rPr>
          <w:rFonts w:ascii="Calibri" w:hAnsi="Calibri" w:asciiTheme="minorHAnsi" w:hAnsiTheme="minorHAnsi"/>
          <w:sz w:val="22"/>
          <w:szCs w:val="22"/>
        </w:rPr>
      </w:pPr>
      <w:r>
        <w:rPr>
          <w:rFonts w:ascii="Calibri" w:hAnsi="Calibri" w:asciiTheme="minorHAnsi" w:hAnsiTheme="minorHAnsi"/>
          <w:sz w:val="22"/>
          <w:szCs w:val="22"/>
        </w:rPr>
        <w:t xml:space="preserve">A Penicilina G Benzatina, um importante antimicrobiano utilizado para tratamentode diversas doenças em todos os níveis de atenção em saúde,encontra-se escasso no mercadonacional, em decorrênciadadificuldadedeproduçãodo princípio ativo. </w:t>
      </w:r>
    </w:p>
    <w:p>
      <w:pPr>
        <w:pStyle w:val="Normal"/>
        <w:spacing w:lineRule="auto" w:line="360"/>
        <w:ind w:firstLine="708"/>
        <w:jc w:val="both"/>
        <w:rPr>
          <w:rFonts w:ascii="Calibri" w:hAnsi="Calibri" w:asciiTheme="minorHAnsi" w:hAnsiTheme="minorHAnsi"/>
          <w:sz w:val="22"/>
          <w:szCs w:val="22"/>
        </w:rPr>
      </w:pPr>
      <w:r>
        <w:rPr>
          <w:rFonts w:ascii="Calibri" w:hAnsi="Calibri" w:asciiTheme="minorHAnsi" w:hAnsiTheme="minorHAnsi"/>
          <w:sz w:val="22"/>
          <w:szCs w:val="22"/>
        </w:rPr>
        <w:t xml:space="preserve">Por ser a única droga que atravessa a barreira transplacentária com evidência científica de eficácia na prevenção da transmissão vertical de sífilis (sífilis congênita), sua utilização deve ser priorizada no tratamento da gestante com sífilis em qualquer estágio da doença. </w:t>
      </w:r>
    </w:p>
    <w:p>
      <w:pPr>
        <w:pStyle w:val="Normal"/>
        <w:spacing w:lineRule="auto" w:line="360"/>
        <w:ind w:firstLine="708"/>
        <w:jc w:val="both"/>
        <w:rPr>
          <w:rFonts w:ascii="Calibri" w:hAnsi="Calibri" w:asciiTheme="minorHAnsi" w:hAnsiTheme="minorHAnsi"/>
          <w:sz w:val="22"/>
          <w:szCs w:val="22"/>
        </w:rPr>
      </w:pPr>
      <w:r>
        <w:rPr>
          <w:rFonts w:ascii="Calibri" w:hAnsi="Calibri" w:asciiTheme="minorHAnsi" w:hAnsiTheme="minorHAnsi"/>
          <w:sz w:val="22"/>
          <w:szCs w:val="22"/>
        </w:rPr>
        <w:t>Com a finalidade de evitar o desabastecimento total deste insumo, faz-se necessário adotarmos medidas de controle na dispensação deste medicamento na Rede Municipal de Saúde de Maceió, conforme recomendação do Ministério da Saúde na Nota Informativa nº 109/2015. Enquanto persistir a dificuldade no reabastecimento deste insumo, seu uso ficará restrito para as seguintes indicações:</w:t>
      </w:r>
    </w:p>
    <w:p>
      <w:pPr>
        <w:pStyle w:val="ListParagraph"/>
        <w:numPr>
          <w:ilvl w:val="0"/>
          <w:numId w:val="2"/>
        </w:numPr>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Tratamento da gestante com sífilis, em qualquer estágio da doença e seu parceiro sexual (tabela 1);</w:t>
      </w:r>
    </w:p>
    <w:p>
      <w:pPr>
        <w:pStyle w:val="ListParagraph"/>
        <w:numPr>
          <w:ilvl w:val="0"/>
          <w:numId w:val="2"/>
        </w:numPr>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Profilaxia Secundária da Febre Reumática (Tabela 2)</w:t>
      </w:r>
    </w:p>
    <w:p>
      <w:pPr>
        <w:pStyle w:val="Normal"/>
        <w:spacing w:lineRule="auto" w:line="360"/>
        <w:ind w:firstLine="708"/>
        <w:jc w:val="both"/>
        <w:rPr>
          <w:rFonts w:ascii="Calibri" w:hAnsi="Calibri" w:asciiTheme="minorHAnsi" w:hAnsiTheme="minorHAnsi"/>
          <w:sz w:val="22"/>
          <w:szCs w:val="22"/>
        </w:rPr>
      </w:pPr>
      <w:r>
        <w:rPr>
          <w:rFonts w:ascii="Calibri" w:hAnsi="Calibri" w:asciiTheme="minorHAnsi" w:hAnsiTheme="minorHAnsi"/>
          <w:sz w:val="22"/>
          <w:szCs w:val="22"/>
        </w:rPr>
        <w:t>Para o manejo clínico dos demais casos de sífilis adquirida, em homens e</w:t>
      </w:r>
      <w:r>
        <w:rPr>
          <w:rFonts w:ascii="Calibri" w:hAnsi="Calibri" w:asciiTheme="minorHAnsi" w:hAnsiTheme="minorHAnsi"/>
          <w:sz w:val="22"/>
          <w:szCs w:val="22"/>
          <w:u w:val="single"/>
        </w:rPr>
        <w:t xml:space="preserve"> mulheres não gestantes</w:t>
      </w:r>
      <w:r>
        <w:rPr>
          <w:rFonts w:ascii="Calibri" w:hAnsi="Calibri" w:asciiTheme="minorHAnsi" w:hAnsiTheme="minorHAnsi"/>
          <w:sz w:val="22"/>
          <w:szCs w:val="22"/>
        </w:rPr>
        <w:t>, poderão ser utilizadas drogas substitutas (Tabela 3).</w:t>
      </w:r>
    </w:p>
    <w:p>
      <w:pPr>
        <w:pStyle w:val="Normal"/>
        <w:spacing w:lineRule="auto" w:line="360"/>
        <w:ind w:firstLine="708"/>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360"/>
        <w:jc w:val="both"/>
        <w:rPr>
          <w:rFonts w:ascii="Calibri" w:hAnsi="Calibri" w:asciiTheme="minorHAnsi" w:hAnsiTheme="minorHAnsi"/>
          <w:b/>
          <w:b/>
          <w:sz w:val="22"/>
          <w:szCs w:val="22"/>
        </w:rPr>
      </w:pPr>
      <w:r>
        <w:rPr>
          <w:rFonts w:ascii="Calibri" w:hAnsi="Calibri" w:asciiTheme="minorHAnsi" w:hAnsiTheme="minorHAnsi"/>
          <w:b/>
          <w:sz w:val="22"/>
          <w:szCs w:val="22"/>
        </w:rPr>
        <w:t>Tabela 1 - Tratamento da Gestante com Sífilis</w:t>
      </w:r>
    </w:p>
    <w:tbl>
      <w:tblPr>
        <w:tblStyle w:val="Tabelacomgrade"/>
        <w:tblW w:w="8503" w:type="dxa"/>
        <w:jc w:val="left"/>
        <w:tblInd w:w="0" w:type="dxa"/>
        <w:tblCellMar>
          <w:top w:w="0" w:type="dxa"/>
          <w:left w:w="108" w:type="dxa"/>
          <w:bottom w:w="0" w:type="dxa"/>
          <w:right w:w="108" w:type="dxa"/>
        </w:tblCellMar>
        <w:tblLook w:val="04a0"/>
      </w:tblPr>
      <w:tblGrid>
        <w:gridCol w:w="2551"/>
        <w:gridCol w:w="2977"/>
        <w:gridCol w:w="1134"/>
        <w:gridCol w:w="1840"/>
      </w:tblGrid>
      <w:tr>
        <w:trPr/>
        <w:tc>
          <w:tcPr>
            <w:tcW w:w="2551" w:type="dxa"/>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tcPr>
          <w:p>
            <w:pPr>
              <w:pStyle w:val="Normal"/>
              <w:spacing w:lineRule="auto" w:line="360"/>
              <w:jc w:val="both"/>
              <w:rPr>
                <w:rFonts w:ascii="Calibri" w:hAnsi="Calibri" w:asciiTheme="minorHAnsi" w:hAnsiTheme="minorHAnsi"/>
                <w:b/>
                <w:b/>
                <w:sz w:val="22"/>
                <w:szCs w:val="22"/>
              </w:rPr>
            </w:pPr>
            <w:r>
              <w:rPr>
                <w:rFonts w:ascii="Calibri" w:hAnsi="Calibri" w:asciiTheme="minorHAnsi" w:hAnsiTheme="minorHAnsi"/>
                <w:b/>
                <w:sz w:val="22"/>
                <w:szCs w:val="22"/>
              </w:rPr>
              <w:t>Estadiamento</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jc w:val="both"/>
              <w:rPr>
                <w:rFonts w:ascii="Calibri" w:hAnsi="Calibri" w:asciiTheme="minorHAnsi" w:hAnsiTheme="minorHAnsi"/>
                <w:b/>
                <w:b/>
                <w:sz w:val="22"/>
                <w:szCs w:val="22"/>
              </w:rPr>
            </w:pPr>
            <w:r>
              <w:rPr>
                <w:rFonts w:ascii="Calibri" w:hAnsi="Calibri" w:asciiTheme="minorHAnsi" w:hAnsiTheme="minorHAnsi"/>
                <w:b/>
                <w:sz w:val="22"/>
                <w:szCs w:val="22"/>
              </w:rPr>
              <w:t>Opção terapêutica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jc w:val="both"/>
              <w:rPr>
                <w:rFonts w:ascii="Calibri" w:hAnsi="Calibri" w:asciiTheme="minorHAnsi" w:hAnsiTheme="minorHAnsi"/>
                <w:b/>
                <w:b/>
                <w:sz w:val="22"/>
                <w:szCs w:val="22"/>
              </w:rPr>
            </w:pPr>
            <w:r>
              <w:rPr>
                <w:rFonts w:ascii="Calibri" w:hAnsi="Calibri" w:asciiTheme="minorHAnsi" w:hAnsiTheme="minorHAnsi"/>
                <w:b/>
                <w:sz w:val="22"/>
                <w:szCs w:val="22"/>
              </w:rPr>
              <w:t>Duração</w:t>
            </w:r>
          </w:p>
        </w:tc>
        <w:tc>
          <w:tcPr>
            <w:tcW w:w="1840" w:type="dxa"/>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tcPr>
          <w:p>
            <w:pPr>
              <w:pStyle w:val="Normal"/>
              <w:spacing w:lineRule="auto" w:line="360"/>
              <w:jc w:val="both"/>
              <w:rPr>
                <w:rFonts w:ascii="Calibri" w:hAnsi="Calibri" w:asciiTheme="minorHAnsi" w:hAnsiTheme="minorHAnsi"/>
                <w:b/>
                <w:b/>
                <w:sz w:val="22"/>
                <w:szCs w:val="22"/>
              </w:rPr>
            </w:pPr>
            <w:r>
              <w:rPr>
                <w:rFonts w:ascii="Calibri" w:hAnsi="Calibri" w:asciiTheme="minorHAnsi" w:hAnsiTheme="minorHAnsi"/>
                <w:b/>
                <w:sz w:val="22"/>
                <w:szCs w:val="22"/>
              </w:rPr>
              <w:t>Controle de cura</w:t>
            </w:r>
          </w:p>
        </w:tc>
      </w:tr>
      <w:tr>
        <w:trPr>
          <w:trHeight w:val="907" w:hRule="atLeast"/>
        </w:trPr>
        <w:tc>
          <w:tcPr>
            <w:tcW w:w="2551" w:type="dxa"/>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tcPr>
          <w:p>
            <w:pPr>
              <w:pStyle w:val="Normal"/>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Sífilis primária, secundária ou latente com menos de 1 ano</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Penicilina G Benzatina 2,4 milhões UI, IM (1,2 milhão UI em cada glúteo)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Dose única</w:t>
            </w:r>
          </w:p>
        </w:tc>
        <w:tc>
          <w:tcPr>
            <w:tcW w:w="1840" w:type="dxa"/>
            <w:vMerge w:val="restart"/>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tcPr>
          <w:p>
            <w:pPr>
              <w:pStyle w:val="Normal"/>
              <w:spacing w:lineRule="auto" w:line="36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36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VDRL mensal</w:t>
            </w:r>
          </w:p>
        </w:tc>
      </w:tr>
      <w:tr>
        <w:trPr>
          <w:trHeight w:val="770" w:hRule="atLeast"/>
        </w:trPr>
        <w:tc>
          <w:tcPr>
            <w:tcW w:w="2551" w:type="dxa"/>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tcPr>
          <w:p>
            <w:pPr>
              <w:pStyle w:val="Normal"/>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Sífilis terciária, latente com mais de 1 ano ou com duração ignorada</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Penicilina G Benzatina 2,4 milhões UI, IM (1,2 milhão UI em cada glúteo), semanal.</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Semanal, por 3 semanas</w:t>
            </w:r>
          </w:p>
        </w:tc>
        <w:tc>
          <w:tcPr>
            <w:tcW w:w="1840" w:type="dxa"/>
            <w:vMerge w:val="continue"/>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tcPr>
          <w:p>
            <w:pPr>
              <w:pStyle w:val="Normal"/>
              <w:spacing w:lineRule="auto" w:line="360"/>
              <w:jc w:val="both"/>
              <w:rPr>
                <w:rFonts w:ascii="Calibri" w:hAnsi="Calibri" w:asciiTheme="minorHAnsi" w:hAnsiTheme="minorHAnsi"/>
                <w:sz w:val="22"/>
                <w:szCs w:val="22"/>
              </w:rPr>
            </w:pPr>
            <w:r>
              <w:rPr>
                <w:rFonts w:asciiTheme="minorHAnsi" w:hAnsiTheme="minorHAnsi" w:ascii="Calibri" w:hAnsi="Calibri"/>
                <w:sz w:val="22"/>
                <w:szCs w:val="22"/>
              </w:rPr>
            </w:r>
          </w:p>
        </w:tc>
      </w:tr>
    </w:tbl>
    <w:p>
      <w:pPr>
        <w:pStyle w:val="Normal"/>
        <w:jc w:val="both"/>
        <w:rPr>
          <w:rFonts w:ascii="Calibri" w:hAnsi="Calibri" w:asciiTheme="minorHAnsi" w:hAnsiTheme="minorHAnsi"/>
          <w:sz w:val="18"/>
          <w:szCs w:val="18"/>
        </w:rPr>
      </w:pPr>
      <w:r>
        <w:rPr>
          <w:rFonts w:ascii="Calibri" w:hAnsi="Calibri" w:asciiTheme="minorHAnsi" w:hAnsiTheme="minorHAnsi"/>
          <w:sz w:val="18"/>
          <w:szCs w:val="18"/>
        </w:rPr>
        <w:t xml:space="preserve">Fonte: Ministério da Saúde. Protocolo Clínico e Diretrizes Terapêutica para Atenção Integral as Pessoas com </w:t>
      </w:r>
    </w:p>
    <w:p>
      <w:pPr>
        <w:pStyle w:val="Normal"/>
        <w:jc w:val="both"/>
        <w:rPr>
          <w:rFonts w:ascii="Calibri" w:hAnsi="Calibri" w:asciiTheme="minorHAnsi" w:hAnsiTheme="minorHAnsi"/>
          <w:sz w:val="18"/>
          <w:szCs w:val="18"/>
        </w:rPr>
      </w:pPr>
      <w:r>
        <w:rPr>
          <w:rFonts w:ascii="Calibri" w:hAnsi="Calibri" w:asciiTheme="minorHAnsi" w:hAnsiTheme="minorHAnsi"/>
          <w:sz w:val="18"/>
          <w:szCs w:val="18"/>
        </w:rPr>
        <w:t>Infecções Sexualmente Transmissíveis(2015).</w:t>
      </w:r>
    </w:p>
    <w:p>
      <w:pPr>
        <w:pStyle w:val="Normal"/>
        <w:spacing w:lineRule="auto" w:line="360"/>
        <w:jc w:val="both"/>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spacing w:lineRule="auto" w:line="360"/>
        <w:jc w:val="both"/>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spacing w:lineRule="auto" w:line="360"/>
        <w:jc w:val="both"/>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spacing w:lineRule="auto" w:line="360"/>
        <w:jc w:val="both"/>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spacing w:lineRule="auto" w:line="360"/>
        <w:jc w:val="both"/>
        <w:rPr>
          <w:rFonts w:ascii="Calibri" w:hAnsi="Calibri" w:asciiTheme="minorHAnsi" w:hAnsiTheme="minorHAnsi"/>
          <w:b/>
          <w:b/>
          <w:sz w:val="22"/>
          <w:szCs w:val="22"/>
        </w:rPr>
      </w:pPr>
      <w:r>
        <w:rPr>
          <w:rFonts w:ascii="Calibri" w:hAnsi="Calibri" w:asciiTheme="minorHAnsi" w:hAnsiTheme="minorHAnsi"/>
          <w:b/>
          <w:sz w:val="22"/>
          <w:szCs w:val="22"/>
        </w:rPr>
        <w:t>Tabela 2 - Profilaxia Secundária da Febre Reumática</w:t>
      </w:r>
    </w:p>
    <w:tbl>
      <w:tblPr>
        <w:tblStyle w:val="Tabelacomgrade"/>
        <w:tblW w:w="5000" w:type="pct"/>
        <w:jc w:val="left"/>
        <w:tblInd w:w="0" w:type="dxa"/>
        <w:tblCellMar>
          <w:top w:w="0" w:type="dxa"/>
          <w:left w:w="108" w:type="dxa"/>
          <w:bottom w:w="0" w:type="dxa"/>
          <w:right w:w="108" w:type="dxa"/>
        </w:tblCellMar>
        <w:tblLook w:val="04a0"/>
      </w:tblPr>
      <w:tblGrid>
        <w:gridCol w:w="3212"/>
        <w:gridCol w:w="3211"/>
        <w:gridCol w:w="3215"/>
      </w:tblGrid>
      <w:tr>
        <w:trPr/>
        <w:tc>
          <w:tcPr>
            <w:tcW w:w="3212" w:type="dxa"/>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76"/>
              <w:jc w:val="both"/>
              <w:rPr>
                <w:rFonts w:ascii="Calibri" w:hAnsi="Calibri" w:asciiTheme="minorHAnsi" w:hAnsiTheme="minorHAnsi"/>
                <w:b/>
                <w:b/>
                <w:sz w:val="22"/>
                <w:szCs w:val="22"/>
              </w:rPr>
            </w:pPr>
            <w:r>
              <w:rPr>
                <w:rFonts w:ascii="Calibri" w:hAnsi="Calibri" w:asciiTheme="minorHAnsi" w:hAnsiTheme="minorHAnsi"/>
                <w:b/>
                <w:sz w:val="22"/>
                <w:szCs w:val="22"/>
              </w:rPr>
              <w:t>Medicamento/Opção</w:t>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both"/>
              <w:rPr>
                <w:rFonts w:ascii="Calibri" w:hAnsi="Calibri" w:asciiTheme="minorHAnsi" w:hAnsiTheme="minorHAnsi"/>
                <w:b/>
                <w:b/>
                <w:sz w:val="22"/>
                <w:szCs w:val="22"/>
              </w:rPr>
            </w:pPr>
            <w:r>
              <w:rPr>
                <w:rFonts w:ascii="Calibri" w:hAnsi="Calibri" w:asciiTheme="minorHAnsi" w:hAnsiTheme="minorHAnsi"/>
                <w:b/>
                <w:sz w:val="22"/>
                <w:szCs w:val="22"/>
              </w:rPr>
              <w:t>Dose/Via de administração</w:t>
            </w:r>
          </w:p>
        </w:tc>
        <w:tc>
          <w:tcPr>
            <w:tcW w:w="3215" w:type="dxa"/>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vAlign w:val="center"/>
          </w:tcPr>
          <w:p>
            <w:pPr>
              <w:pStyle w:val="Normal"/>
              <w:spacing w:lineRule="auto" w:line="276"/>
              <w:jc w:val="both"/>
              <w:rPr>
                <w:rFonts w:ascii="Calibri" w:hAnsi="Calibri" w:asciiTheme="minorHAnsi" w:hAnsiTheme="minorHAnsi"/>
                <w:b/>
                <w:b/>
                <w:sz w:val="22"/>
                <w:szCs w:val="22"/>
              </w:rPr>
            </w:pPr>
            <w:r>
              <w:rPr>
                <w:rFonts w:ascii="Calibri" w:hAnsi="Calibri" w:asciiTheme="minorHAnsi" w:hAnsiTheme="minorHAnsi"/>
                <w:b/>
                <w:sz w:val="22"/>
                <w:szCs w:val="22"/>
              </w:rPr>
              <w:t>Intervalo</w:t>
            </w:r>
          </w:p>
        </w:tc>
      </w:tr>
      <w:tr>
        <w:trPr>
          <w:trHeight w:val="135" w:hRule="atLeast"/>
        </w:trPr>
        <w:tc>
          <w:tcPr>
            <w:tcW w:w="3212" w:type="dxa"/>
            <w:vMerge w:val="restart"/>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Penicilina G Benzatina</w:t>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Peso &lt; 20 kg 600.000 UI IM</w:t>
            </w:r>
          </w:p>
        </w:tc>
        <w:tc>
          <w:tcPr>
            <w:tcW w:w="3215" w:type="dxa"/>
            <w:vMerge w:val="restart"/>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21/21 dias</w:t>
            </w:r>
          </w:p>
        </w:tc>
      </w:tr>
      <w:tr>
        <w:trPr>
          <w:trHeight w:val="135" w:hRule="atLeast"/>
        </w:trPr>
        <w:tc>
          <w:tcPr>
            <w:tcW w:w="3212" w:type="dxa"/>
            <w:vMerge w:val="continue"/>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Peso ≥ 20 kg 1.200.000 UI IM</w:t>
            </w:r>
          </w:p>
        </w:tc>
        <w:tc>
          <w:tcPr>
            <w:tcW w:w="3215" w:type="dxa"/>
            <w:vMerge w:val="continue"/>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vAlign w:val="cente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r>
      <w:tr>
        <w:trPr/>
        <w:tc>
          <w:tcPr>
            <w:tcW w:w="3212" w:type="dxa"/>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76"/>
              <w:jc w:val="both"/>
              <w:rPr>
                <w:rFonts w:ascii="Calibri" w:hAnsi="Calibri" w:asciiTheme="minorHAnsi" w:hAnsiTheme="minorHAnsi"/>
                <w:color w:val="808080" w:themeColor="background1" w:themeShade="80"/>
                <w:sz w:val="22"/>
                <w:szCs w:val="22"/>
              </w:rPr>
            </w:pPr>
            <w:r>
              <w:rPr>
                <w:rFonts w:ascii="Calibri" w:hAnsi="Calibri" w:asciiTheme="minorHAnsi" w:hAnsiTheme="minorHAnsi"/>
                <w:color w:val="808080" w:themeColor="background1" w:themeShade="80"/>
                <w:sz w:val="22"/>
                <w:szCs w:val="22"/>
              </w:rPr>
              <w:t>Penicilina V*</w:t>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both"/>
              <w:rPr>
                <w:rFonts w:ascii="Calibri" w:hAnsi="Calibri" w:asciiTheme="minorHAnsi" w:hAnsiTheme="minorHAnsi"/>
                <w:color w:val="808080" w:themeColor="background1" w:themeShade="80"/>
                <w:sz w:val="22"/>
                <w:szCs w:val="22"/>
              </w:rPr>
            </w:pPr>
            <w:r>
              <w:rPr>
                <w:rFonts w:ascii="Calibri" w:hAnsi="Calibri" w:asciiTheme="minorHAnsi" w:hAnsiTheme="minorHAnsi"/>
                <w:color w:val="808080" w:themeColor="background1" w:themeShade="80"/>
                <w:sz w:val="22"/>
                <w:szCs w:val="22"/>
              </w:rPr>
              <w:t>250 mg VO</w:t>
            </w:r>
          </w:p>
        </w:tc>
        <w:tc>
          <w:tcPr>
            <w:tcW w:w="3215" w:type="dxa"/>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vAlign w:val="center"/>
          </w:tcPr>
          <w:p>
            <w:pPr>
              <w:pStyle w:val="Normal"/>
              <w:spacing w:lineRule="auto" w:line="276"/>
              <w:jc w:val="both"/>
              <w:rPr>
                <w:rFonts w:ascii="Calibri" w:hAnsi="Calibri" w:asciiTheme="minorHAnsi" w:hAnsiTheme="minorHAnsi"/>
                <w:color w:val="808080" w:themeColor="background1" w:themeShade="80"/>
                <w:sz w:val="22"/>
                <w:szCs w:val="22"/>
              </w:rPr>
            </w:pPr>
            <w:r>
              <w:rPr>
                <w:rFonts w:ascii="Calibri" w:hAnsi="Calibri" w:asciiTheme="minorHAnsi" w:hAnsiTheme="minorHAnsi"/>
                <w:color w:val="808080" w:themeColor="background1" w:themeShade="80"/>
                <w:sz w:val="22"/>
                <w:szCs w:val="22"/>
              </w:rPr>
              <w:t>12/12h</w:t>
            </w:r>
          </w:p>
        </w:tc>
      </w:tr>
      <w:tr>
        <w:trPr/>
        <w:tc>
          <w:tcPr>
            <w:tcW w:w="9638" w:type="dxa"/>
            <w:gridSpan w:val="3"/>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Em caso de alergia à penicilina:</w:t>
            </w:r>
          </w:p>
        </w:tc>
      </w:tr>
      <w:tr>
        <w:trPr>
          <w:trHeight w:val="135" w:hRule="atLeast"/>
        </w:trPr>
        <w:tc>
          <w:tcPr>
            <w:tcW w:w="3212" w:type="dxa"/>
            <w:vMerge w:val="restart"/>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Sulfadiazina</w:t>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Peso &lt; 30 Kg – 500 mg VO</w:t>
            </w:r>
          </w:p>
        </w:tc>
        <w:tc>
          <w:tcPr>
            <w:tcW w:w="3215" w:type="dxa"/>
            <w:vMerge w:val="restart"/>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1x ao dia</w:t>
            </w:r>
          </w:p>
        </w:tc>
      </w:tr>
      <w:tr>
        <w:trPr>
          <w:trHeight w:val="135" w:hRule="atLeast"/>
        </w:trPr>
        <w:tc>
          <w:tcPr>
            <w:tcW w:w="3212" w:type="dxa"/>
            <w:vMerge w:val="continue"/>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Peso ≥ 30 Kg – 1 g VO</w:t>
            </w:r>
          </w:p>
        </w:tc>
        <w:tc>
          <w:tcPr>
            <w:tcW w:w="3215" w:type="dxa"/>
            <w:vMerge w:val="continue"/>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vAlign w:val="cente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r>
      <w:tr>
        <w:trPr/>
        <w:tc>
          <w:tcPr>
            <w:tcW w:w="3212" w:type="dxa"/>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Eritromicina</w:t>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250 mg VO</w:t>
            </w:r>
          </w:p>
        </w:tc>
        <w:tc>
          <w:tcPr>
            <w:tcW w:w="3215" w:type="dxa"/>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vAlign w:val="cente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12/12h</w:t>
            </w:r>
          </w:p>
        </w:tc>
      </w:tr>
    </w:tbl>
    <w:p>
      <w:pPr>
        <w:pStyle w:val="Normal"/>
        <w:jc w:val="both"/>
        <w:rPr>
          <w:rFonts w:ascii="Calibri" w:hAnsi="Calibri" w:asciiTheme="minorHAnsi" w:hAnsiTheme="minorHAnsi"/>
          <w:sz w:val="18"/>
          <w:szCs w:val="18"/>
        </w:rPr>
      </w:pPr>
      <w:r>
        <w:rPr>
          <w:rFonts w:ascii="Calibri" w:hAnsi="Calibri" w:asciiTheme="minorHAnsi" w:hAnsiTheme="minorHAnsi"/>
          <w:sz w:val="18"/>
          <w:szCs w:val="18"/>
        </w:rPr>
        <w:t>Fonte: Diretrizes Brasileiras para o Diagnóstico, Tratamento e Prevenção da Febre Reumática (2011).</w:t>
      </w:r>
    </w:p>
    <w:p>
      <w:pPr>
        <w:pStyle w:val="Normal"/>
        <w:jc w:val="both"/>
        <w:rPr>
          <w:rFonts w:ascii="Calibri" w:hAnsi="Calibri" w:asciiTheme="minorHAnsi" w:hAnsiTheme="minorHAnsi"/>
          <w:sz w:val="18"/>
          <w:szCs w:val="18"/>
        </w:rPr>
      </w:pPr>
      <w:r>
        <w:rPr>
          <w:rFonts w:ascii="Calibri" w:hAnsi="Calibri" w:asciiTheme="minorHAnsi" w:hAnsiTheme="minorHAnsi"/>
          <w:sz w:val="18"/>
          <w:szCs w:val="18"/>
        </w:rPr>
        <w:t>*Não está disponível na rede municipal, por não constar na REMUME</w:t>
      </w:r>
    </w:p>
    <w:p>
      <w:pPr>
        <w:pStyle w:val="Normal"/>
        <w:spacing w:lineRule="auto" w:line="36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360"/>
        <w:jc w:val="both"/>
        <w:rPr>
          <w:rFonts w:ascii="Calibri" w:hAnsi="Calibri" w:asciiTheme="minorHAnsi" w:hAnsiTheme="minorHAnsi"/>
          <w:b/>
          <w:b/>
          <w:sz w:val="22"/>
          <w:szCs w:val="22"/>
        </w:rPr>
      </w:pPr>
      <w:r>
        <w:rPr>
          <w:rFonts w:ascii="Calibri" w:hAnsi="Calibri" w:asciiTheme="minorHAnsi" w:hAnsiTheme="minorHAnsi"/>
          <w:b/>
          <w:sz w:val="22"/>
          <w:szCs w:val="22"/>
        </w:rPr>
        <w:t xml:space="preserve">Tabela 3 – Tratamento alternativo da Sífilis </w:t>
      </w:r>
    </w:p>
    <w:tbl>
      <w:tblPr>
        <w:tblStyle w:val="Tabelacomgrade"/>
        <w:tblW w:w="5000" w:type="pct"/>
        <w:jc w:val="left"/>
        <w:tblInd w:w="0" w:type="dxa"/>
        <w:tblCellMar>
          <w:top w:w="0" w:type="dxa"/>
          <w:left w:w="108" w:type="dxa"/>
          <w:bottom w:w="0" w:type="dxa"/>
          <w:right w:w="108" w:type="dxa"/>
        </w:tblCellMar>
        <w:tblLook w:val="04a0"/>
      </w:tblPr>
      <w:tblGrid>
        <w:gridCol w:w="2569"/>
        <w:gridCol w:w="3776"/>
        <w:gridCol w:w="1330"/>
        <w:gridCol w:w="1962"/>
      </w:tblGrid>
      <w:tr>
        <w:trPr/>
        <w:tc>
          <w:tcPr>
            <w:tcW w:w="2569" w:type="dxa"/>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both"/>
              <w:rPr>
                <w:rFonts w:ascii="Calibri" w:hAnsi="Calibri" w:asciiTheme="minorHAnsi" w:hAnsiTheme="minorHAnsi"/>
                <w:b/>
                <w:b/>
                <w:sz w:val="22"/>
                <w:szCs w:val="22"/>
              </w:rPr>
            </w:pPr>
            <w:r>
              <w:rPr>
                <w:rFonts w:ascii="Calibri" w:hAnsi="Calibri" w:asciiTheme="minorHAnsi" w:hAnsiTheme="minorHAnsi"/>
                <w:b/>
                <w:sz w:val="22"/>
                <w:szCs w:val="22"/>
              </w:rPr>
              <w:t>Estadiamento</w:t>
            </w:r>
          </w:p>
        </w:tc>
        <w:tc>
          <w:tcPr>
            <w:tcW w:w="3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b/>
                <w:b/>
                <w:sz w:val="22"/>
                <w:szCs w:val="22"/>
              </w:rPr>
            </w:pPr>
            <w:r>
              <w:rPr>
                <w:rFonts w:ascii="Calibri" w:hAnsi="Calibri" w:asciiTheme="minorHAnsi" w:hAnsiTheme="minorHAnsi"/>
                <w:b/>
                <w:sz w:val="22"/>
                <w:szCs w:val="22"/>
              </w:rPr>
              <w:t>Opção terapêutica</w:t>
            </w:r>
          </w:p>
        </w:tc>
        <w:tc>
          <w:tcPr>
            <w:tcW w:w="1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b/>
                <w:b/>
                <w:sz w:val="22"/>
                <w:szCs w:val="22"/>
              </w:rPr>
            </w:pPr>
            <w:r>
              <w:rPr>
                <w:rFonts w:ascii="Calibri" w:hAnsi="Calibri" w:asciiTheme="minorHAnsi" w:hAnsiTheme="minorHAnsi"/>
                <w:b/>
                <w:sz w:val="22"/>
                <w:szCs w:val="22"/>
              </w:rPr>
              <w:t>Duração</w:t>
            </w:r>
          </w:p>
        </w:tc>
        <w:tc>
          <w:tcPr>
            <w:tcW w:w="1962" w:type="dxa"/>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tcPr>
          <w:p>
            <w:pPr>
              <w:pStyle w:val="Normal"/>
              <w:spacing w:lineRule="auto" w:line="276"/>
              <w:jc w:val="both"/>
              <w:rPr>
                <w:rFonts w:ascii="Calibri" w:hAnsi="Calibri" w:asciiTheme="minorHAnsi" w:hAnsiTheme="minorHAnsi"/>
                <w:b/>
                <w:b/>
                <w:sz w:val="22"/>
                <w:szCs w:val="22"/>
              </w:rPr>
            </w:pPr>
            <w:r>
              <w:rPr>
                <w:rFonts w:ascii="Calibri" w:hAnsi="Calibri" w:asciiTheme="minorHAnsi" w:hAnsiTheme="minorHAnsi"/>
                <w:b/>
                <w:sz w:val="22"/>
                <w:szCs w:val="22"/>
              </w:rPr>
              <w:t>Controle de cura</w:t>
            </w:r>
          </w:p>
        </w:tc>
      </w:tr>
      <w:tr>
        <w:trPr>
          <w:trHeight w:val="272" w:hRule="atLeast"/>
        </w:trPr>
        <w:tc>
          <w:tcPr>
            <w:tcW w:w="2569" w:type="dxa"/>
            <w:vMerge w:val="restart"/>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Sífilis primária, secundária ou latente com menos de 1 ano</w:t>
            </w:r>
          </w:p>
        </w:tc>
        <w:tc>
          <w:tcPr>
            <w:tcW w:w="3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Doxiciclina 100mg 12/12h</w:t>
            </w:r>
          </w:p>
        </w:tc>
        <w:tc>
          <w:tcPr>
            <w:tcW w:w="13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15 dias</w:t>
            </w:r>
          </w:p>
        </w:tc>
        <w:tc>
          <w:tcPr>
            <w:tcW w:w="1962" w:type="dxa"/>
            <w:vMerge w:val="restart"/>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VDRL a cada 2 meses (espera-se a queda de dois ou mais títulos a cada 3-6 meses)</w:t>
            </w:r>
          </w:p>
        </w:tc>
      </w:tr>
      <w:tr>
        <w:trPr>
          <w:trHeight w:val="285" w:hRule="atLeast"/>
        </w:trPr>
        <w:tc>
          <w:tcPr>
            <w:tcW w:w="2569" w:type="dxa"/>
            <w:vMerge w:val="continue"/>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c>
          <w:tcPr>
            <w:tcW w:w="3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Eritromicina 500mg 6/6h</w:t>
            </w:r>
          </w:p>
        </w:tc>
        <w:tc>
          <w:tcPr>
            <w:tcW w:w="13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c>
          <w:tcPr>
            <w:tcW w:w="1962" w:type="dxa"/>
            <w:vMerge w:val="continue"/>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r>
      <w:tr>
        <w:trPr>
          <w:trHeight w:val="269" w:hRule="atLeast"/>
        </w:trPr>
        <w:tc>
          <w:tcPr>
            <w:tcW w:w="2569" w:type="dxa"/>
            <w:vMerge w:val="continue"/>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c>
          <w:tcPr>
            <w:tcW w:w="3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Ceftriaxona 1g IV ou IM, 1 vez ao dia</w:t>
            </w:r>
          </w:p>
        </w:tc>
        <w:tc>
          <w:tcPr>
            <w:tcW w:w="1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8 a 10 dias</w:t>
            </w:r>
          </w:p>
        </w:tc>
        <w:tc>
          <w:tcPr>
            <w:tcW w:w="1962" w:type="dxa"/>
            <w:vMerge w:val="continue"/>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r>
      <w:tr>
        <w:trPr>
          <w:trHeight w:val="254" w:hRule="atLeast"/>
        </w:trPr>
        <w:tc>
          <w:tcPr>
            <w:tcW w:w="2569" w:type="dxa"/>
            <w:vMerge w:val="restart"/>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Sífilis terciária, latente com mais de 1 ano ou com duração ignorada</w:t>
            </w:r>
          </w:p>
        </w:tc>
        <w:tc>
          <w:tcPr>
            <w:tcW w:w="3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Doxiciclina 100mg 12/12h</w:t>
            </w:r>
          </w:p>
        </w:tc>
        <w:tc>
          <w:tcPr>
            <w:tcW w:w="13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30 dias</w:t>
            </w:r>
          </w:p>
        </w:tc>
        <w:tc>
          <w:tcPr>
            <w:tcW w:w="1962" w:type="dxa"/>
            <w:vMerge w:val="continue"/>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r>
      <w:tr>
        <w:trPr>
          <w:trHeight w:val="258" w:hRule="atLeast"/>
        </w:trPr>
        <w:tc>
          <w:tcPr>
            <w:tcW w:w="2569" w:type="dxa"/>
            <w:vMerge w:val="continue"/>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c>
          <w:tcPr>
            <w:tcW w:w="3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Eritromicina 500mg 6/6h</w:t>
            </w:r>
          </w:p>
        </w:tc>
        <w:tc>
          <w:tcPr>
            <w:tcW w:w="13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c>
          <w:tcPr>
            <w:tcW w:w="1962" w:type="dxa"/>
            <w:vMerge w:val="continue"/>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r>
      <w:tr>
        <w:trPr>
          <w:trHeight w:val="404" w:hRule="atLeast"/>
        </w:trPr>
        <w:tc>
          <w:tcPr>
            <w:tcW w:w="2569" w:type="dxa"/>
            <w:vMerge w:val="continue"/>
            <w:tcBorders>
              <w:top w:val="single" w:sz="4" w:space="0" w:color="00000A"/>
              <w:left w:val="nil"/>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c>
          <w:tcPr>
            <w:tcW w:w="3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Ceftriaxona 1g IV ou IM uma vez ao dia</w:t>
            </w:r>
          </w:p>
        </w:tc>
        <w:tc>
          <w:tcPr>
            <w:tcW w:w="1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Calibri" w:hAnsi="Calibri" w:asciiTheme="minorHAnsi" w:hAnsiTheme="minorHAnsi"/>
                <w:sz w:val="22"/>
                <w:szCs w:val="22"/>
              </w:rPr>
              <w:t>8 a 10 dias</w:t>
            </w:r>
          </w:p>
        </w:tc>
        <w:tc>
          <w:tcPr>
            <w:tcW w:w="1962" w:type="dxa"/>
            <w:vMerge w:val="continue"/>
            <w:tcBorders>
              <w:top w:val="single" w:sz="4" w:space="0" w:color="00000A"/>
              <w:left w:val="single" w:sz="4" w:space="0" w:color="00000A"/>
              <w:bottom w:val="single" w:sz="4" w:space="0" w:color="00000A"/>
              <w:right w:val="nil"/>
              <w:insideH w:val="single" w:sz="4" w:space="0" w:color="00000A"/>
              <w:insideV w:val="nil"/>
            </w:tcBorders>
            <w:shd w:fill="auto" w:val="clear"/>
            <w:tcMar>
              <w:left w:w="103" w:type="dxa"/>
            </w:tcMar>
          </w:tcPr>
          <w:p>
            <w:pPr>
              <w:pStyle w:val="Normal"/>
              <w:spacing w:lineRule="auto" w:line="276"/>
              <w:jc w:val="both"/>
              <w:rPr>
                <w:rFonts w:ascii="Calibri" w:hAnsi="Calibri" w:asciiTheme="minorHAnsi" w:hAnsiTheme="minorHAnsi"/>
                <w:sz w:val="22"/>
                <w:szCs w:val="22"/>
              </w:rPr>
            </w:pPr>
            <w:r>
              <w:rPr>
                <w:rFonts w:asciiTheme="minorHAnsi" w:hAnsiTheme="minorHAnsi" w:ascii="Calibri" w:hAnsi="Calibri"/>
                <w:sz w:val="22"/>
                <w:szCs w:val="22"/>
              </w:rPr>
            </w:r>
          </w:p>
        </w:tc>
      </w:tr>
    </w:tbl>
    <w:p>
      <w:pPr>
        <w:pStyle w:val="Normal"/>
        <w:jc w:val="both"/>
        <w:rPr>
          <w:rFonts w:ascii="Calibri" w:hAnsi="Calibri" w:asciiTheme="minorHAnsi" w:hAnsiTheme="minorHAnsi"/>
          <w:sz w:val="18"/>
          <w:szCs w:val="18"/>
        </w:rPr>
      </w:pPr>
      <w:r>
        <w:rPr>
          <w:rFonts w:ascii="Calibri" w:hAnsi="Calibri" w:asciiTheme="minorHAnsi" w:hAnsiTheme="minorHAnsi"/>
          <w:sz w:val="18"/>
          <w:szCs w:val="18"/>
        </w:rPr>
        <w:t xml:space="preserve">Fonte: Ministério da Saúde. Protocolo Clínico e Diretrizes Terapêutica para Atenção Integral as Pessoas com </w:t>
      </w:r>
    </w:p>
    <w:p>
      <w:pPr>
        <w:pStyle w:val="Normal"/>
        <w:jc w:val="both"/>
        <w:rPr>
          <w:rFonts w:ascii="Calibri" w:hAnsi="Calibri" w:asciiTheme="minorHAnsi" w:hAnsiTheme="minorHAnsi"/>
          <w:sz w:val="18"/>
          <w:szCs w:val="18"/>
        </w:rPr>
      </w:pPr>
      <w:r>
        <w:rPr>
          <w:rFonts w:ascii="Calibri" w:hAnsi="Calibri" w:asciiTheme="minorHAnsi" w:hAnsiTheme="minorHAnsi"/>
          <w:sz w:val="18"/>
          <w:szCs w:val="18"/>
        </w:rPr>
        <w:t>Infecções Sexualmente Transmissíveis (2015).</w:t>
      </w:r>
    </w:p>
    <w:p>
      <w:pPr>
        <w:pStyle w:val="Normal"/>
        <w:spacing w:lineRule="auto" w:line="360"/>
        <w:jc w:val="both"/>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ab/>
        <w:t>A dispensação da Penicilina Benzatina ficará restrita a duas Unidades de Saúde por Distrito Sanitário (Quadro 1), até a normalização no seu reabastecimento no país. A administração da Penicilina deverá ser feita de preferência na Unidade de Saúde dispensadora, e o seguimento (controle de cura) na unidade de saúde de origem do paciente.</w:t>
      </w:r>
    </w:p>
    <w:p>
      <w:pPr>
        <w:pStyle w:val="Normal"/>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ab/>
        <w:t>A dispensação será feita utilizando o sistema HORUS e caberá ao farmacêutico da unidade verificar os requisitos para a dispensação da penicilina Benzatina, que são:</w:t>
      </w:r>
    </w:p>
    <w:p>
      <w:pPr>
        <w:pStyle w:val="ListParagraph"/>
        <w:numPr>
          <w:ilvl w:val="0"/>
          <w:numId w:val="1"/>
        </w:numPr>
        <w:spacing w:lineRule="auto" w:line="360" w:before="240" w:after="120"/>
        <w:ind w:left="993" w:hanging="284"/>
        <w:contextualSpacing/>
        <w:jc w:val="both"/>
        <w:rPr>
          <w:rFonts w:ascii="Calibri" w:hAnsi="Calibri" w:asciiTheme="minorHAnsi" w:hAnsiTheme="minorHAnsi"/>
          <w:sz w:val="22"/>
          <w:szCs w:val="22"/>
        </w:rPr>
      </w:pPr>
      <w:r>
        <w:rPr>
          <w:rFonts w:ascii="Calibri" w:hAnsi="Calibri" w:asciiTheme="minorHAnsi" w:hAnsiTheme="minorHAnsi"/>
          <w:sz w:val="22"/>
          <w:szCs w:val="22"/>
        </w:rPr>
        <w:t>Apresentação de receita com a prescrição do medicamento, seguindo as orientações da tabela 1;</w:t>
      </w:r>
    </w:p>
    <w:p>
      <w:pPr>
        <w:pStyle w:val="ListParagraph"/>
        <w:numPr>
          <w:ilvl w:val="0"/>
          <w:numId w:val="1"/>
        </w:numPr>
        <w:spacing w:lineRule="auto" w:line="360" w:before="240" w:after="120"/>
        <w:ind w:left="993" w:hanging="284"/>
        <w:contextualSpacing/>
        <w:jc w:val="both"/>
        <w:rPr>
          <w:rFonts w:ascii="Calibri" w:hAnsi="Calibri" w:asciiTheme="minorHAnsi" w:hAnsiTheme="minorHAnsi"/>
          <w:sz w:val="22"/>
          <w:szCs w:val="22"/>
        </w:rPr>
      </w:pPr>
      <w:r>
        <w:rPr>
          <w:rFonts w:ascii="Calibri" w:hAnsi="Calibri" w:asciiTheme="minorHAnsi" w:hAnsiTheme="minorHAnsi"/>
          <w:sz w:val="22"/>
          <w:szCs w:val="22"/>
        </w:rPr>
        <w:t xml:space="preserve">Apresentação da ficha de Notificação Compulsória da gestante; </w:t>
      </w:r>
    </w:p>
    <w:p>
      <w:pPr>
        <w:pStyle w:val="ListParagraph"/>
        <w:numPr>
          <w:ilvl w:val="0"/>
          <w:numId w:val="1"/>
        </w:numPr>
        <w:spacing w:lineRule="auto" w:line="360" w:before="240" w:after="120"/>
        <w:ind w:left="993" w:hanging="284"/>
        <w:contextualSpacing/>
        <w:jc w:val="both"/>
        <w:rPr>
          <w:rFonts w:ascii="Calibri" w:hAnsi="Calibri" w:asciiTheme="minorHAnsi" w:hAnsiTheme="minorHAnsi"/>
          <w:sz w:val="22"/>
          <w:szCs w:val="22"/>
        </w:rPr>
      </w:pPr>
      <w:r>
        <w:rPr>
          <w:rFonts w:ascii="Calibri" w:hAnsi="Calibri" w:asciiTheme="minorHAnsi" w:hAnsiTheme="minorHAnsi"/>
          <w:sz w:val="22"/>
          <w:szCs w:val="22"/>
        </w:rPr>
        <w:t>Receita do parceiro, com a ficha de notificação da gestante;</w:t>
      </w:r>
    </w:p>
    <w:p>
      <w:pPr>
        <w:pStyle w:val="ListParagraph"/>
        <w:numPr>
          <w:ilvl w:val="0"/>
          <w:numId w:val="1"/>
        </w:numPr>
        <w:spacing w:lineRule="auto" w:line="360" w:before="240" w:after="120"/>
        <w:ind w:left="993" w:hanging="284"/>
        <w:contextualSpacing/>
        <w:jc w:val="both"/>
        <w:rPr>
          <w:rFonts w:ascii="Calibri" w:hAnsi="Calibri" w:asciiTheme="minorHAnsi" w:hAnsiTheme="minorHAnsi"/>
          <w:sz w:val="22"/>
          <w:szCs w:val="22"/>
        </w:rPr>
      </w:pPr>
      <w:r>
        <w:rPr>
          <w:rFonts w:ascii="Calibri" w:hAnsi="Calibri" w:asciiTheme="minorHAnsi" w:hAnsiTheme="minorHAnsi"/>
          <w:sz w:val="22"/>
          <w:szCs w:val="22"/>
        </w:rPr>
        <w:t>Apresentação do cartão SUS e documento oficial com foto;</w:t>
      </w:r>
    </w:p>
    <w:p>
      <w:pPr>
        <w:pStyle w:val="ListParagraph"/>
        <w:numPr>
          <w:ilvl w:val="0"/>
          <w:numId w:val="1"/>
        </w:numPr>
        <w:spacing w:lineRule="auto" w:line="360" w:before="240" w:after="120"/>
        <w:ind w:left="993" w:hanging="284"/>
        <w:contextualSpacing/>
        <w:jc w:val="both"/>
        <w:rPr>
          <w:rFonts w:ascii="Calibri" w:hAnsi="Calibri" w:asciiTheme="minorHAnsi" w:hAnsiTheme="minorHAnsi"/>
          <w:sz w:val="22"/>
          <w:szCs w:val="22"/>
        </w:rPr>
      </w:pPr>
      <w:r>
        <w:rPr>
          <w:rFonts w:ascii="Calibri" w:hAnsi="Calibri" w:asciiTheme="minorHAnsi" w:hAnsiTheme="minorHAnsi"/>
          <w:sz w:val="22"/>
          <w:szCs w:val="22"/>
        </w:rPr>
        <w:t xml:space="preserve">Para profilaxia secundária da febre reumática, deverá constar esta justificativa na receita. </w:t>
      </w:r>
    </w:p>
    <w:p>
      <w:pPr>
        <w:pStyle w:val="Normal"/>
        <w:spacing w:lineRule="auto" w:line="360" w:before="240" w:after="120"/>
        <w:jc w:val="both"/>
        <w:rPr>
          <w:rFonts w:ascii="Calibri" w:hAnsi="Calibri" w:asciiTheme="minorHAnsi" w:hAnsiTheme="minorHAnsi"/>
          <w:sz w:val="22"/>
          <w:szCs w:val="22"/>
        </w:rPr>
      </w:pPr>
      <w:r>
        <w:rPr>
          <w:rFonts w:ascii="Calibri" w:hAnsi="Calibri" w:asciiTheme="minorHAnsi" w:hAnsiTheme="minorHAnsi"/>
          <w:b/>
          <w:sz w:val="22"/>
          <w:szCs w:val="22"/>
        </w:rPr>
        <w:t xml:space="preserve">Quadro 1- Unidades de Saúde referenciadas para a </w:t>
      </w:r>
      <w:r>
        <w:rPr>
          <w:rFonts w:ascii="Calibri" w:hAnsi="Calibri" w:asciiTheme="minorHAnsi" w:hAnsiTheme="minorHAnsi"/>
          <w:b/>
          <w:sz w:val="22"/>
          <w:szCs w:val="22"/>
          <w:u w:val="single"/>
        </w:rPr>
        <w:t>dispensação</w:t>
      </w:r>
      <w:r>
        <w:rPr>
          <w:rFonts w:ascii="Calibri" w:hAnsi="Calibri" w:asciiTheme="minorHAnsi" w:hAnsiTheme="minorHAnsi"/>
          <w:b/>
          <w:sz w:val="22"/>
          <w:szCs w:val="22"/>
        </w:rPr>
        <w:t xml:space="preserve"> da Penicilina Benzatina </w:t>
      </w:r>
    </w:p>
    <w:tbl>
      <w:tblPr>
        <w:tblStyle w:val="Tabelacomgrade"/>
        <w:tblW w:w="5000" w:type="pct"/>
        <w:jc w:val="left"/>
        <w:tblInd w:w="0" w:type="dxa"/>
        <w:tblCellMar>
          <w:top w:w="0" w:type="dxa"/>
          <w:left w:w="108" w:type="dxa"/>
          <w:bottom w:w="0" w:type="dxa"/>
          <w:right w:w="108" w:type="dxa"/>
        </w:tblCellMar>
        <w:tblLook w:val="04a0"/>
      </w:tblPr>
      <w:tblGrid>
        <w:gridCol w:w="4459"/>
        <w:gridCol w:w="5178"/>
      </w:tblGrid>
      <w:tr>
        <w:trPr/>
        <w:tc>
          <w:tcPr>
            <w:tcW w:w="4459"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b/>
                <w:b/>
                <w:sz w:val="22"/>
                <w:szCs w:val="22"/>
              </w:rPr>
            </w:pPr>
            <w:r>
              <w:rPr>
                <w:rFonts w:ascii="Calibri" w:hAnsi="Calibri" w:asciiTheme="minorHAnsi" w:hAnsiTheme="minorHAnsi"/>
                <w:b/>
                <w:sz w:val="22"/>
                <w:szCs w:val="22"/>
              </w:rPr>
              <w:t>Distrito Sanitário</w:t>
            </w:r>
          </w:p>
        </w:tc>
        <w:tc>
          <w:tcPr>
            <w:tcW w:w="5178" w:type="dxa"/>
            <w:tcBorders/>
            <w:shd w:fill="auto" w:val="clear"/>
            <w:tcMar>
              <w:left w:w="108" w:type="dxa"/>
            </w:tcMar>
            <w:vAlign w:val="center"/>
          </w:tcPr>
          <w:p>
            <w:pPr>
              <w:pStyle w:val="Normal"/>
              <w:spacing w:lineRule="auto" w:line="360"/>
              <w:jc w:val="both"/>
              <w:rPr>
                <w:rFonts w:ascii="Calibri" w:hAnsi="Calibri" w:asciiTheme="minorHAnsi" w:hAnsiTheme="minorHAnsi"/>
                <w:b/>
                <w:b/>
                <w:sz w:val="22"/>
                <w:szCs w:val="22"/>
              </w:rPr>
            </w:pPr>
            <w:r>
              <w:rPr>
                <w:rFonts w:ascii="Calibri" w:hAnsi="Calibri" w:asciiTheme="minorHAnsi" w:hAnsiTheme="minorHAnsi"/>
                <w:b/>
                <w:sz w:val="22"/>
                <w:szCs w:val="22"/>
              </w:rPr>
              <w:t>Unidade de Saúde</w:t>
            </w:r>
          </w:p>
        </w:tc>
      </w:tr>
      <w:tr>
        <w:trPr/>
        <w:tc>
          <w:tcPr>
            <w:tcW w:w="4459" w:type="dxa"/>
            <w:vMerge w:val="restart"/>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I DISTRITO SANITÁRIO</w:t>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Farmácia do PAM salgadinho</w:t>
            </w:r>
          </w:p>
        </w:tc>
      </w:tr>
      <w:tr>
        <w:trPr>
          <w:trHeight w:val="309" w:hRule="atLeast"/>
        </w:trPr>
        <w:tc>
          <w:tcPr>
            <w:tcW w:w="4459" w:type="dxa"/>
            <w:vMerge w:val="continue"/>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Theme="minorHAnsi" w:hAnsiTheme="minorHAnsi" w:ascii="Calibri" w:hAnsi="Calibri"/>
                <w:sz w:val="22"/>
                <w:szCs w:val="22"/>
              </w:rPr>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 Osvaldo Brandão vilela</w:t>
            </w:r>
          </w:p>
        </w:tc>
      </w:tr>
      <w:tr>
        <w:trPr/>
        <w:tc>
          <w:tcPr>
            <w:tcW w:w="4459" w:type="dxa"/>
            <w:vMerge w:val="restart"/>
            <w:tcBorders/>
            <w:shd w:fill="auto" w:val="clear"/>
            <w:tcMar>
              <w:left w:w="108" w:type="dxa"/>
            </w:tcMar>
            <w:vAlign w:val="center"/>
          </w:tcPr>
          <w:p>
            <w:pPr>
              <w:pStyle w:val="Normal"/>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II DISTRITO SANITÁRIO</w:t>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 Roland Simon</w:t>
            </w:r>
          </w:p>
        </w:tc>
      </w:tr>
      <w:tr>
        <w:trPr/>
        <w:tc>
          <w:tcPr>
            <w:tcW w:w="4459" w:type="dxa"/>
            <w:vMerge w:val="continue"/>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Theme="minorHAnsi" w:hAnsiTheme="minorHAnsi" w:ascii="Calibri" w:hAnsi="Calibri"/>
                <w:sz w:val="22"/>
                <w:szCs w:val="22"/>
              </w:rPr>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USF Hélvio Auto</w:t>
            </w:r>
          </w:p>
        </w:tc>
      </w:tr>
      <w:tr>
        <w:trPr>
          <w:trHeight w:val="322" w:hRule="atLeast"/>
        </w:trPr>
        <w:tc>
          <w:tcPr>
            <w:tcW w:w="4459"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III DISTRITO SANITÁRIO</w:t>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 Pitanguinha</w:t>
            </w:r>
          </w:p>
        </w:tc>
      </w:tr>
      <w:tr>
        <w:trPr/>
        <w:tc>
          <w:tcPr>
            <w:tcW w:w="4459" w:type="dxa"/>
            <w:vMerge w:val="restart"/>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IV DISTRITO SANITÁRIO</w:t>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 PAM Bebedouro</w:t>
            </w:r>
          </w:p>
        </w:tc>
      </w:tr>
      <w:tr>
        <w:trPr/>
        <w:tc>
          <w:tcPr>
            <w:tcW w:w="4459" w:type="dxa"/>
            <w:vMerge w:val="continue"/>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Theme="minorHAnsi" w:hAnsiTheme="minorHAnsi" w:ascii="Calibri" w:hAnsi="Calibri"/>
                <w:sz w:val="22"/>
                <w:szCs w:val="22"/>
              </w:rPr>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USF Edvaldo Silva</w:t>
            </w:r>
          </w:p>
        </w:tc>
      </w:tr>
      <w:tr>
        <w:trPr/>
        <w:tc>
          <w:tcPr>
            <w:tcW w:w="4459" w:type="dxa"/>
            <w:vMerge w:val="restart"/>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V DISTRITO SANITÁRIO</w:t>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 Waldomiro Alencar</w:t>
            </w:r>
          </w:p>
        </w:tc>
      </w:tr>
      <w:tr>
        <w:trPr/>
        <w:tc>
          <w:tcPr>
            <w:tcW w:w="4459" w:type="dxa"/>
            <w:vMerge w:val="continue"/>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Theme="minorHAnsi" w:hAnsiTheme="minorHAnsi" w:ascii="Calibri" w:hAnsi="Calibri"/>
                <w:sz w:val="22"/>
                <w:szCs w:val="22"/>
              </w:rPr>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 João Paulo II</w:t>
            </w:r>
          </w:p>
        </w:tc>
      </w:tr>
      <w:tr>
        <w:trPr>
          <w:trHeight w:val="395" w:hRule="atLeast"/>
        </w:trPr>
        <w:tc>
          <w:tcPr>
            <w:tcW w:w="4459"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VI DISTRITO SANITÁRIO</w:t>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 Hamilton Falcão</w:t>
            </w:r>
          </w:p>
        </w:tc>
      </w:tr>
      <w:tr>
        <w:trPr/>
        <w:tc>
          <w:tcPr>
            <w:tcW w:w="4459" w:type="dxa"/>
            <w:vMerge w:val="restart"/>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VII DISTRITO SANITÁRIO</w:t>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 IB Gatto</w:t>
            </w:r>
          </w:p>
        </w:tc>
      </w:tr>
      <w:tr>
        <w:trPr/>
        <w:tc>
          <w:tcPr>
            <w:tcW w:w="4459" w:type="dxa"/>
            <w:vMerge w:val="continue"/>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Theme="minorHAnsi" w:hAnsiTheme="minorHAnsi" w:ascii="Calibri" w:hAnsi="Calibri"/>
                <w:sz w:val="22"/>
                <w:szCs w:val="22"/>
              </w:rPr>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 Djalma Loureiro</w:t>
            </w:r>
          </w:p>
        </w:tc>
      </w:tr>
      <w:tr>
        <w:trPr/>
        <w:tc>
          <w:tcPr>
            <w:tcW w:w="4459" w:type="dxa"/>
            <w:vMerge w:val="restart"/>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VIII DISTRITO SANITÁRIO</w:t>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UDA Dr. José Lages - UNIT</w:t>
            </w:r>
          </w:p>
        </w:tc>
      </w:tr>
      <w:tr>
        <w:trPr/>
        <w:tc>
          <w:tcPr>
            <w:tcW w:w="4459" w:type="dxa"/>
            <w:vMerge w:val="continue"/>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Theme="minorHAnsi" w:hAnsiTheme="minorHAnsi" w:ascii="Calibri" w:hAnsi="Calibri"/>
                <w:sz w:val="22"/>
                <w:szCs w:val="22"/>
              </w:rPr>
            </w:r>
          </w:p>
        </w:tc>
        <w:tc>
          <w:tcPr>
            <w:tcW w:w="5178" w:type="dxa"/>
            <w:tcBorders/>
            <w:shd w:fill="auto" w:val="clear"/>
            <w:tcMar>
              <w:left w:w="108" w:type="dxa"/>
            </w:tcMar>
            <w:vAlign w:val="center"/>
          </w:tcPr>
          <w:p>
            <w:pPr>
              <w:pStyle w:val="ListParagraph"/>
              <w:spacing w:lineRule="auto" w:line="360"/>
              <w:ind w:left="0" w:hanging="0"/>
              <w:jc w:val="both"/>
              <w:rPr>
                <w:rFonts w:ascii="Calibri" w:hAnsi="Calibri" w:asciiTheme="minorHAnsi" w:hAnsiTheme="minorHAnsi"/>
                <w:sz w:val="22"/>
                <w:szCs w:val="22"/>
              </w:rPr>
            </w:pPr>
            <w:r>
              <w:rPr>
                <w:rFonts w:ascii="Calibri" w:hAnsi="Calibri" w:asciiTheme="minorHAnsi" w:hAnsiTheme="minorHAnsi"/>
                <w:sz w:val="22"/>
                <w:szCs w:val="22"/>
              </w:rPr>
              <w:t>US Guaxuma</w:t>
            </w:r>
          </w:p>
        </w:tc>
      </w:tr>
    </w:tbl>
    <w:p>
      <w:pPr>
        <w:pStyle w:val="Normal"/>
        <w:spacing w:lineRule="auto" w:line="360"/>
        <w:jc w:val="both"/>
        <w:rPr>
          <w:rFonts w:ascii="Calibri" w:hAnsi="Calibri" w:asciiTheme="minorHAnsi" w:hAnsiTheme="minorHAnsi"/>
          <w:sz w:val="18"/>
          <w:szCs w:val="18"/>
        </w:rPr>
      </w:pPr>
      <w:r>
        <w:rPr>
          <w:rFonts w:ascii="Calibri" w:hAnsi="Calibri" w:asciiTheme="minorHAnsi" w:hAnsiTheme="minorHAnsi"/>
          <w:sz w:val="18"/>
          <w:szCs w:val="18"/>
        </w:rPr>
        <w:t>Fonte: Secretaria Municipal de Saúde de Maceió. Memorando nº63 Diretoria de Atenção à Saúde (2016).</w:t>
      </w:r>
    </w:p>
    <w:p>
      <w:pPr>
        <w:pStyle w:val="Normal"/>
        <w:spacing w:lineRule="auto" w:line="276" w:before="120" w:after="120"/>
        <w:ind w:firstLine="709"/>
        <w:jc w:val="both"/>
        <w:rPr>
          <w:rFonts w:ascii="Calibri" w:hAnsi="Calibri" w:cs="Times New Roman" w:asciiTheme="minorHAnsi" w:hAnsiTheme="minorHAnsi"/>
          <w:sz w:val="22"/>
          <w:szCs w:val="22"/>
        </w:rPr>
      </w:pPr>
      <w:r>
        <w:rPr>
          <w:rFonts w:cs="Times New Roman" w:ascii="Calibri" w:hAnsi="Calibri" w:asciiTheme="minorHAnsi" w:hAnsiTheme="minorHAnsi"/>
          <w:sz w:val="22"/>
          <w:szCs w:val="22"/>
        </w:rPr>
        <w:tab/>
        <w:tab/>
        <w:tab/>
        <w:tab/>
        <w:tab/>
        <w:tab/>
      </w:r>
    </w:p>
    <w:p>
      <w:pPr>
        <w:pStyle w:val="Normal"/>
        <w:spacing w:lineRule="auto" w:line="276" w:before="120" w:after="120"/>
        <w:ind w:left="6371" w:hanging="0"/>
        <w:jc w:val="both"/>
        <w:rPr>
          <w:rFonts w:ascii="Calibri" w:hAnsi="Calibri" w:asciiTheme="minorHAnsi" w:hAnsiTheme="minorHAnsi"/>
          <w:sz w:val="22"/>
          <w:szCs w:val="22"/>
        </w:rPr>
      </w:pPr>
      <w:bookmarkStart w:id="0" w:name="_GoBack"/>
      <w:bookmarkEnd w:id="0"/>
      <w:r>
        <w:rPr>
          <w:rFonts w:cs="Times New Roman" w:ascii="Calibri" w:hAnsi="Calibri" w:asciiTheme="minorHAnsi" w:hAnsiTheme="minorHAnsi"/>
          <w:sz w:val="22"/>
          <w:szCs w:val="22"/>
        </w:rPr>
        <w:t>Maceió, 01 de agosto de 2016</w:t>
      </w:r>
    </w:p>
    <w:p>
      <w:pPr>
        <w:pStyle w:val="Normal"/>
        <w:ind w:firstLine="709"/>
        <w:jc w:val="center"/>
        <w:rPr>
          <w:rFonts w:ascii="Calibri" w:hAnsi="Calibri" w:asciiTheme="minorHAnsi" w:hAnsiTheme="minorHAnsi"/>
          <w:sz w:val="22"/>
          <w:szCs w:val="22"/>
        </w:rPr>
      </w:pPr>
      <w:r>
        <w:rPr>
          <w:rFonts w:asciiTheme="minorHAnsi" w:hAnsiTheme="minorHAnsi" w:ascii="Calibri" w:hAnsi="Calibri"/>
          <w:sz w:val="22"/>
          <w:szCs w:val="22"/>
        </w:rPr>
      </w:r>
    </w:p>
    <w:p>
      <w:pPr>
        <w:pStyle w:val="Normal"/>
        <w:ind w:firstLine="709"/>
        <w:jc w:val="center"/>
        <w:rPr>
          <w:rFonts w:ascii="Calibri" w:hAnsi="Calibri" w:asciiTheme="minorHAnsi" w:hAnsiTheme="minorHAnsi"/>
          <w:sz w:val="22"/>
          <w:szCs w:val="22"/>
        </w:rPr>
      </w:pPr>
      <w:r>
        <w:rPr>
          <w:rFonts w:asciiTheme="minorHAnsi" w:hAnsiTheme="minorHAnsi" w:ascii="Calibri" w:hAnsi="Calibri"/>
          <w:sz w:val="22"/>
          <w:szCs w:val="22"/>
        </w:rPr>
      </w:r>
    </w:p>
    <w:p>
      <w:pPr>
        <w:pStyle w:val="Normal"/>
        <w:ind w:firstLine="709"/>
        <w:jc w:val="both"/>
        <w:rPr>
          <w:rFonts w:ascii="Calibri" w:hAnsi="Calibri" w:asciiTheme="minorHAnsi" w:hAnsiTheme="minorHAnsi"/>
          <w:sz w:val="22"/>
          <w:szCs w:val="22"/>
        </w:rPr>
      </w:pPr>
      <w:r>
        <w:rPr>
          <w:rFonts w:ascii="Calibri" w:hAnsi="Calibri" w:asciiTheme="minorHAnsi" w:hAnsiTheme="minorHAnsi"/>
          <w:sz w:val="22"/>
          <w:szCs w:val="22"/>
        </w:rPr>
        <w:t>MARDJANE ALVES DE LEMOS NUNES   ANA FLÁVIA RODRIGUES LEÃO MELRO</w:t>
      </w:r>
    </w:p>
    <w:p>
      <w:pPr>
        <w:pStyle w:val="Normal"/>
        <w:ind w:firstLine="709"/>
        <w:jc w:val="both"/>
        <w:rPr/>
      </w:pPr>
      <w:r>
        <w:rPr>
          <w:rFonts w:ascii="Calibri" w:hAnsi="Calibri" w:asciiTheme="minorHAnsi" w:hAnsiTheme="minorHAnsi"/>
          <w:sz w:val="22"/>
          <w:szCs w:val="22"/>
        </w:rPr>
        <w:t>Coord. PM DST/Aids e Hepatites ViraisDiretora de Atenção à Saúde–DAS</w:t>
      </w:r>
      <w:r>
        <w:rPr>
          <w:rFonts w:cs="Times New Roman" w:ascii="Calibri" w:hAnsi="Calibri" w:asciiTheme="minorHAnsi" w:hAnsiTheme="minorHAnsi"/>
          <w:sz w:val="22"/>
          <w:szCs w:val="22"/>
          <w:lang w:val="en-US"/>
        </w:rPr>
        <w:tab/>
      </w:r>
    </w:p>
    <w:sectPr>
      <w:headerReference w:type="default" r:id="rId2"/>
      <w:footerReference w:type="default" r:id="rId3"/>
      <w:type w:val="nextPage"/>
      <w:pgSz w:w="11906" w:h="16838"/>
      <w:pgMar w:left="1134" w:right="1134" w:header="1134" w:top="1644" w:footer="1134" w:bottom="164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left="1071" w:hanging="0"/>
      <w:jc w:val="center"/>
      <w:rPr>
        <w:b/>
        <w:b/>
        <w:bCs/>
        <w:sz w:val="20"/>
        <w:szCs w:val="20"/>
      </w:rPr>
    </w:pPr>
    <w:r>
      <w:drawing>
        <wp:anchor behindDoc="1" distT="0" distB="0" distL="0" distR="0" simplePos="0" locked="0" layoutInCell="1" allowOverlap="1" relativeHeight="4">
          <wp:simplePos x="0" y="0"/>
          <wp:positionH relativeFrom="column">
            <wp:posOffset>31115</wp:posOffset>
          </wp:positionH>
          <wp:positionV relativeFrom="paragraph">
            <wp:posOffset>51435</wp:posOffset>
          </wp:positionV>
          <wp:extent cx="421640" cy="584835"/>
          <wp:effectExtent l="0" t="0" r="0" b="0"/>
          <wp:wrapSquare wrapText="largest"/>
          <wp:docPr id="2"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 descr=""/>
                  <pic:cNvPicPr>
                    <a:picLocks noChangeAspect="1" noChangeArrowheads="1"/>
                  </pic:cNvPicPr>
                </pic:nvPicPr>
                <pic:blipFill>
                  <a:blip r:embed="rId1"/>
                  <a:stretch>
                    <a:fillRect/>
                  </a:stretch>
                </pic:blipFill>
                <pic:spPr bwMode="auto">
                  <a:xfrm>
                    <a:off x="0" y="0"/>
                    <a:ext cx="421640" cy="584835"/>
                  </a:xfrm>
                  <a:prstGeom prst="rect">
                    <a:avLst/>
                  </a:prstGeom>
                  <a:noFill/>
                  <a:ln w="9525">
                    <a:noFill/>
                    <a:miter lim="800000"/>
                    <a:headEnd/>
                    <a:tailEnd/>
                  </a:ln>
                </pic:spPr>
              </pic:pic>
            </a:graphicData>
          </a:graphic>
        </wp:anchor>
      </w:drawing>
    </w:r>
    <w:r>
      <w:rPr>
        <w:b/>
        <w:bCs/>
        <w:sz w:val="22"/>
        <w:szCs w:val="22"/>
      </w:rPr>
      <w:t>_</w:t>
    </w:r>
    <w:r>
      <w:rPr>
        <w:b/>
        <w:bCs/>
        <w:sz w:val="22"/>
        <w:szCs w:val="22"/>
      </w:rPr>
      <w:t xml:space="preserve">____________________________________________________________________________ </w:t>
    </w:r>
  </w:p>
  <w:p>
    <w:pPr>
      <w:pStyle w:val="Rodap"/>
      <w:ind w:left="1082" w:hanging="0"/>
      <w:rPr>
        <w:rFonts w:cs="Times New Roman"/>
        <w:sz w:val="20"/>
        <w:szCs w:val="20"/>
      </w:rPr>
    </w:pPr>
    <w:r>
      <w:rPr>
        <w:sz w:val="20"/>
        <w:szCs w:val="20"/>
      </w:rPr>
      <w:t xml:space="preserve">Rua Dias Cabral, nº 569, sala 205 – Centro – Maceió – Alagoas – CEP:  </w:t>
    </w:r>
    <w:r>
      <w:rPr>
        <w:rFonts w:cs="Times New Roman"/>
        <w:sz w:val="20"/>
        <w:szCs w:val="20"/>
      </w:rPr>
      <w:t xml:space="preserve">57.020-250 </w:t>
    </w:r>
  </w:p>
  <w:p>
    <w:pPr>
      <w:pStyle w:val="Rodap"/>
      <w:ind w:left="1082" w:hanging="0"/>
      <w:rPr>
        <w:sz w:val="20"/>
        <w:szCs w:val="20"/>
        <w:lang w:val="en-US"/>
      </w:rPr>
    </w:pPr>
    <w:r>
      <w:rPr>
        <w:rFonts w:cs="Times New Roman"/>
        <w:sz w:val="20"/>
        <w:szCs w:val="20"/>
        <w:lang w:val="en-US"/>
      </w:rPr>
      <w:t>Tel: (82) 3315 5197 / (82) 3315 5252 – Email: pmdstaids@sms.maceio.al.gov.br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14935" distR="114935" simplePos="0" locked="0" layoutInCell="1" allowOverlap="1" relativeHeight="7">
          <wp:simplePos x="0" y="0"/>
          <wp:positionH relativeFrom="column">
            <wp:align>center</wp:align>
          </wp:positionH>
          <wp:positionV relativeFrom="paragraph">
            <wp:posOffset>-346075</wp:posOffset>
          </wp:positionV>
          <wp:extent cx="1682750" cy="532765"/>
          <wp:effectExtent l="0" t="0" r="0" b="0"/>
          <wp:wrapNone/>
          <wp:docPr id="1"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descr=""/>
                  <pic:cNvPicPr>
                    <a:picLocks noChangeAspect="1" noChangeArrowheads="1"/>
                  </pic:cNvPicPr>
                </pic:nvPicPr>
                <pic:blipFill>
                  <a:blip r:embed="rId1"/>
                  <a:stretch>
                    <a:fillRect/>
                  </a:stretch>
                </pic:blipFill>
                <pic:spPr bwMode="auto">
                  <a:xfrm>
                    <a:off x="0" y="0"/>
                    <a:ext cx="1682750" cy="532765"/>
                  </a:xfrm>
                  <a:prstGeom prst="rect">
                    <a:avLst/>
                  </a:prstGeom>
                  <a:noFill/>
                  <a:ln w="9525">
                    <a:noFill/>
                    <a:miter lim="800000"/>
                    <a:headEnd/>
                    <a:tailEnd/>
                  </a:ln>
                </pic:spPr>
              </pic:pic>
            </a:graphicData>
          </a:graphic>
        </wp:anchor>
      </w:drawing>
    </w:r>
  </w:p>
  <w:p>
    <w:pPr>
      <w:pStyle w:val="Cabealho"/>
      <w:jc w:val="center"/>
      <w:rPr>
        <w:sz w:val="16"/>
      </w:rPr>
    </w:pPr>
    <w:r>
      <w:rPr>
        <w:sz w:val="16"/>
      </w:rPr>
      <w:t>DIRETORIA DE VIGILÂNCIA EM SAÚDE</w:t>
    </w:r>
  </w:p>
  <w:p>
    <w:pPr>
      <w:pStyle w:val="Cabealho"/>
      <w:jc w:val="center"/>
      <w:rPr>
        <w:sz w:val="16"/>
      </w:rPr>
    </w:pPr>
    <w:r>
      <w:rPr>
        <w:sz w:val="16"/>
      </w:rPr>
      <w:t>COORDENAÇAO GERAL DE EPIDEMIOLOGIA</w:t>
    </w:r>
  </w:p>
  <w:p>
    <w:pPr>
      <w:pStyle w:val="Cabealho"/>
      <w:jc w:val="center"/>
      <w:rPr>
        <w:sz w:val="16"/>
      </w:rPr>
    </w:pPr>
    <w:r>
      <w:rPr>
        <w:sz w:val="16"/>
      </w:rPr>
      <w:t>PROGRAMA MUNICIPAL DE DST/AIDS E HEPATITES VIRAIS</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4"/>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36d9"/>
    <w:pPr>
      <w:widowControl w:val="false"/>
      <w:suppressAutoHyphens w:val="true"/>
      <w:bidi w:val="0"/>
      <w:jc w:val="left"/>
    </w:pPr>
    <w:rPr>
      <w:rFonts w:ascii="Times New Roman" w:hAnsi="Times New Roman" w:eastAsia="SimSun" w:cs="Mangal"/>
      <w:color w:val="auto"/>
      <w:sz w:val="24"/>
      <w:szCs w:val="24"/>
      <w:lang w:eastAsia="zh-CN" w:bidi="hi-IN" w:val="pt-BR"/>
    </w:rPr>
  </w:style>
  <w:style w:type="character" w:styleId="DefaultParagraphFont" w:default="1">
    <w:name w:val="Default Paragraph Font"/>
    <w:uiPriority w:val="1"/>
    <w:semiHidden/>
    <w:unhideWhenUsed/>
    <w:qFormat/>
    <w:rPr/>
  </w:style>
  <w:style w:type="character" w:styleId="RodapChar" w:customStyle="1">
    <w:name w:val="Rodapé Char"/>
    <w:basedOn w:val="DefaultParagraphFont"/>
    <w:link w:val="Rodap"/>
    <w:qFormat/>
    <w:rsid w:val="002a36d9"/>
    <w:rPr>
      <w:rFonts w:ascii="Times New Roman" w:hAnsi="Times New Roman" w:eastAsia="SimSun" w:cs="Mangal"/>
      <w:sz w:val="24"/>
      <w:szCs w:val="24"/>
      <w:lang w:eastAsia="zh-CN" w:bidi="hi-IN"/>
    </w:rPr>
  </w:style>
  <w:style w:type="character" w:styleId="CabealhoChar" w:customStyle="1">
    <w:name w:val="Cabeçalho Char"/>
    <w:basedOn w:val="DefaultParagraphFont"/>
    <w:link w:val="Cabealho"/>
    <w:qFormat/>
    <w:rsid w:val="002a36d9"/>
    <w:rPr>
      <w:rFonts w:ascii="Times New Roman" w:hAnsi="Times New Roman" w:eastAsia="SimSun" w:cs="Mangal"/>
      <w:sz w:val="24"/>
      <w:szCs w:val="24"/>
      <w:lang w:eastAsia="zh-CN" w:bidi="hi-IN"/>
    </w:rPr>
  </w:style>
  <w:style w:type="character" w:styleId="ListLabel1">
    <w:name w:val="ListLabel 1"/>
    <w:qFormat/>
    <w:rPr>
      <w:rFonts w:cs="Symbol"/>
    </w:rPr>
  </w:style>
  <w:style w:type="character" w:styleId="ListLabel2">
    <w:name w:val="ListLabel 2"/>
    <w:qFormat/>
    <w:rPr>
      <w:rFonts w:cs="Courier New"/>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Web">
    <w:name w:val="Normal (Web)"/>
    <w:basedOn w:val="Normal"/>
    <w:qFormat/>
    <w:rsid w:val="002a36d9"/>
    <w:pPr>
      <w:spacing w:before="100" w:after="100"/>
    </w:pPr>
    <w:rPr/>
  </w:style>
  <w:style w:type="paragraph" w:styleId="Rodap">
    <w:name w:val="Rodapé"/>
    <w:basedOn w:val="Normal"/>
    <w:link w:val="RodapChar"/>
    <w:rsid w:val="002a36d9"/>
    <w:pPr>
      <w:tabs>
        <w:tab w:val="center" w:pos="4419" w:leader="none"/>
        <w:tab w:val="right" w:pos="8838" w:leader="none"/>
      </w:tabs>
    </w:pPr>
    <w:rPr/>
  </w:style>
  <w:style w:type="paragraph" w:styleId="Cabealho">
    <w:name w:val="Cabeçalho"/>
    <w:basedOn w:val="Normal"/>
    <w:link w:val="CabealhoChar"/>
    <w:rsid w:val="002a36d9"/>
    <w:pPr>
      <w:suppressLineNumbers/>
      <w:tabs>
        <w:tab w:val="center" w:pos="4819" w:leader="none"/>
        <w:tab w:val="right" w:pos="9638" w:leader="none"/>
      </w:tabs>
    </w:pPr>
    <w:rPr/>
  </w:style>
  <w:style w:type="paragraph" w:styleId="Contedodatabela" w:customStyle="1">
    <w:name w:val="Conteúdo da tabela"/>
    <w:basedOn w:val="Normal"/>
    <w:qFormat/>
    <w:rsid w:val="004e2e70"/>
    <w:pPr>
      <w:suppressLineNumbers/>
    </w:pPr>
    <w:rPr/>
  </w:style>
  <w:style w:type="paragraph" w:styleId="ListParagraph">
    <w:name w:val="List Paragraph"/>
    <w:basedOn w:val="Normal"/>
    <w:uiPriority w:val="34"/>
    <w:qFormat/>
    <w:rsid w:val="007576d3"/>
    <w:pPr>
      <w:spacing w:before="0" w:after="0"/>
      <w:ind w:left="720" w:hanging="0"/>
      <w:contextualSpacing/>
    </w:pPr>
    <w:rPr>
      <w:szCs w:val="21"/>
    </w:rPr>
  </w:style>
  <w:style w:type="numbering" w:styleId="NoList" w:default="1">
    <w:name w:val="No List"/>
    <w:uiPriority w:val="99"/>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59"/>
    <w:rsid w:val="003e666d"/>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AD90F-E64A-413C-88BC-B7B076FA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LibreOffice/4.4.5.2$Windows_x86 LibreOffice_project/a22f674fd25a3b6f45bdebf25400ed2adff0ff99</Application>
  <Paragraphs>106</Paragraphs>
  <Company>SMS Maceió</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2016-08-09T15:46:00Z</dcterms:created>
  <dc:creator>pc</dc:creator>
  <dc:language>pt-BR</dc:language>
  <cp:lastModifiedBy>DST-AIDS</cp:lastModifiedBy>
  <cp:lastPrinted>2016-06-01T15:16:00Z</cp:lastPrinted>
  <dcterms:modified xsi:type="dcterms:W3CDTF">2016-08-09T15:46:00Z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SMS Maceió</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