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6971B" w14:textId="094E6670" w:rsidR="00EB77E6" w:rsidRDefault="00000000" w:rsidP="00B90E37">
      <w:pPr>
        <w:widowControl w:val="0"/>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pict w14:anchorId="7D81B6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50pt;height:50pt;z-index:251658240;visibility:hidden">
            <o:lock v:ext="edit" selection="t"/>
          </v:shape>
        </w:pict>
      </w:r>
      <w:r>
        <w:pict w14:anchorId="7430BB40">
          <v:shape id="_x0000_s2051" type="#_x0000_t136" style="position:absolute;left:0;text-align:left;margin-left:0;margin-top:0;width:50pt;height:50pt;z-index:251659264;visibility:hidden">
            <o:lock v:ext="edit" selection="t"/>
          </v:shape>
        </w:pict>
      </w:r>
      <w:r>
        <w:pict w14:anchorId="033A827B">
          <v:shape id="_x0000_s2050" type="#_x0000_t136" style="position:absolute;left:0;text-align:left;margin-left:0;margin-top:0;width:50pt;height:50pt;z-index:251660288;visibility:hidden">
            <o:lock v:ext="edit" selection="t"/>
          </v:shape>
        </w:pict>
      </w:r>
      <w:r>
        <w:rPr>
          <w:rFonts w:ascii="Times New Roman" w:eastAsia="Times New Roman" w:hAnsi="Times New Roman" w:cs="Times New Roman"/>
          <w:b/>
          <w:bCs/>
          <w:color w:val="000000"/>
          <w:sz w:val="24"/>
          <w:szCs w:val="24"/>
        </w:rPr>
        <w:t xml:space="preserve">EDITAL DE CHAMAMENTO PÚBLICO </w:t>
      </w:r>
      <w:r w:rsidR="00AE4279" w:rsidRPr="00AE4279">
        <w:rPr>
          <w:rFonts w:ascii="Times New Roman" w:eastAsia="Times New Roman" w:hAnsi="Times New Roman" w:cs="Times New Roman"/>
          <w:b/>
          <w:bCs/>
          <w:color w:val="000000"/>
          <w:sz w:val="24"/>
          <w:szCs w:val="24"/>
        </w:rPr>
        <w:t>Nº 06/2026 - PONTAL DA BARRA</w:t>
      </w:r>
    </w:p>
    <w:p w14:paraId="41EF96D6" w14:textId="77777777" w:rsidR="00EB77E6" w:rsidRDefault="00EB77E6" w:rsidP="00B90E37">
      <w:pPr>
        <w:pBdr>
          <w:top w:val="nil"/>
          <w:left w:val="nil"/>
          <w:bottom w:val="nil"/>
          <w:right w:val="nil"/>
          <w:between w:val="nil"/>
        </w:pBdr>
        <w:spacing w:after="0" w:line="240" w:lineRule="auto"/>
        <w:ind w:right="120"/>
        <w:jc w:val="center"/>
        <w:rPr>
          <w:rFonts w:ascii="Times New Roman" w:eastAsia="Times New Roman" w:hAnsi="Times New Roman" w:cs="Times New Roman"/>
          <w:color w:val="000000"/>
          <w:sz w:val="24"/>
          <w:szCs w:val="24"/>
        </w:rPr>
      </w:pPr>
    </w:p>
    <w:p w14:paraId="1F7A7A25" w14:textId="77777777" w:rsidR="00EB77E6" w:rsidRDefault="00000000" w:rsidP="00B90E37">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POLÍTICA NACIONAL ALDIR BLANC DE FOMENTO À CULTURA – PNAB – CICLO 2 – (LEI Nº 14.399/2022)</w:t>
      </w:r>
    </w:p>
    <w:p w14:paraId="38AC8E38" w14:textId="77777777" w:rsidR="00EB77E6" w:rsidRDefault="00EB77E6" w:rsidP="00B90E37">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4ED8DDB3" w14:textId="77777777" w:rsidR="00EB77E6" w:rsidRDefault="00000000" w:rsidP="00B90E3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ANEXO II</w:t>
      </w:r>
    </w:p>
    <w:p w14:paraId="70BDF052" w14:textId="77777777" w:rsidR="00EB77E6" w:rsidRDefault="00000000" w:rsidP="00B90E3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TERMO DE EXECUÇÃO CULTURAL</w:t>
      </w:r>
    </w:p>
    <w:p w14:paraId="41B960E4" w14:textId="77777777" w:rsidR="00EB77E6" w:rsidRDefault="00EB77E6">
      <w:pPr>
        <w:rPr>
          <w:rFonts w:ascii="Times New Roman" w:eastAsia="Times New Roman" w:hAnsi="Times New Roman" w:cs="Times New Roman"/>
          <w:sz w:val="24"/>
          <w:szCs w:val="24"/>
        </w:rPr>
      </w:pPr>
    </w:p>
    <w:p w14:paraId="7FC6E244" w14:textId="77777777" w:rsidR="00EB77E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TERMO DE EXECUÇÃO CULTURAL Nº </w:t>
      </w:r>
      <w:r>
        <w:rPr>
          <w:rFonts w:ascii="Times New Roman" w:eastAsia="Times New Roman" w:hAnsi="Times New Roman" w:cs="Times New Roman"/>
          <w:b/>
          <w:bCs/>
          <w:sz w:val="24"/>
          <w:szCs w:val="24"/>
        </w:rPr>
        <w:t>[NÚMERO]/2026</w:t>
      </w:r>
    </w:p>
    <w:p w14:paraId="0BE349EF" w14:textId="77777777" w:rsidR="00EB77E6" w:rsidRDefault="00000000">
      <w:pPr>
        <w:ind w:left="3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TERMO DE EXECUÇÃO CULTURAL QUE TEM POR OBJETO A CONCESSÃO DE APOIO FINANCEIRO À AÇÃO CULTURAL CONTEMPLADA PELO EDITAL DE CHAMAMENTO PÚBLICO Nº [NÚMERO]/2026 - [NOME DO EDITAL], NOS TERMOS DA LEI Nº 14.399/2022, DA LEI Nº 14.903/2024, DO DECRETO Nº 11.740/2023, COM SUAS ALTERAÇÕES POSTERIORES, E DO DECRETO Nº 11.453/2023.</w:t>
      </w:r>
    </w:p>
    <w:p w14:paraId="299819C9" w14:textId="77777777" w:rsidR="00EB77E6" w:rsidRDefault="00EB77E6">
      <w:pPr>
        <w:rPr>
          <w:rFonts w:ascii="Times New Roman" w:eastAsia="Times New Roman" w:hAnsi="Times New Roman" w:cs="Times New Roman"/>
          <w:sz w:val="24"/>
          <w:szCs w:val="24"/>
        </w:rPr>
      </w:pPr>
    </w:p>
    <w:p w14:paraId="4B220431"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PARTES</w:t>
      </w:r>
    </w:p>
    <w:p w14:paraId="7307B34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 MUNICÍPIO DE MACEIÓ, por intermédio da SECRETARIA MUNICIPAL DE CULTURA E ECONOMIA CRIATIVA - SEMCE, neste ato representado pelo Secretário Municipal de Cultura e Economia Criativa, Senhor ALAN HELTON DE OMENA BALBINO, doravante denominado MUNICÍPIO/SEMCE, e o(a) AGENTE CULTURAL [NOME OU RAZÃO SOCIAL], [NATUREZA JURÍDICA], inscrito(a) no CPF/CNPJ nº [NÚMERO], com endereço em [ENDEREÇO COMPLETO], CEP [NÚMERO], telefone [NÚMERO] e e-mail [ENDEREÇO ELETRÔNICO], neste ato representado(a), quando for o caso, por [NOME DO REPRESENTANTE LEGAL], CPF nº [NÚMERO], doravante denominado(a) AGENTE CULTURAL, resolvem celebrar o presente Termo de Execução Cultural, mediante as cláusulas e condições seguintes.</w:t>
      </w:r>
    </w:p>
    <w:p w14:paraId="09757EB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PROCEDIMENTO</w:t>
      </w:r>
    </w:p>
    <w:p w14:paraId="7B8AF6BD"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Este Termo de Execução Cultural é instrumento da modalidade de fomento à execução de ações culturais, celebrado com agente cultural selecionado por meio do Edital de Chamamento Público nº [NÚMERO]/2026 - [NOME DO EDITAL], no âmbito da Política Nacional Aldir Blanc de Fomento à Cultura - PNAB.</w:t>
      </w:r>
    </w:p>
    <w:p w14:paraId="1D289CB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O presente instrumento integra o Processo Administrativo nº [NÚMERO DO PROCESSO] e será regido pela Lei nº 14.399/2022, pela Lei nº 14.903/2024, pelo Decreto nº 11.740/2023, com suas alterações posteriores, pelo Decreto nº 11.453/2023, pelo edital e pelas demais normas aplicáveis.</w:t>
      </w:r>
    </w:p>
    <w:p w14:paraId="3A10A2E5"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 OBJETO</w:t>
      </w:r>
    </w:p>
    <w:p w14:paraId="2B460E8C"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O presente Termo de Execução Cultural tem por objeto a concessão de apoio financeiro para a execução do projeto cultural “[NOME DO PROJETO]”, selecionado no Edital de Chamamento Público nº [NÚMERO]/2026 - [NOME DO EDITAL], conforme proposta e Plano de Trabalho aprovados, que passam a integrar este instrumento independentemente de transcrição.</w:t>
      </w:r>
    </w:p>
    <w:p w14:paraId="39A8E52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O objeto deverá ser executado de acordo com as metas, atividades, cronograma, orçamento, medidas de acessibilidade, estratégias de divulgação e demais condições constantes do Plano de Trabalho aprovado.</w:t>
      </w:r>
    </w:p>
    <w:p w14:paraId="1F6BF046"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RECURSOS FINANCEIROS</w:t>
      </w:r>
    </w:p>
    <w:p w14:paraId="0AED5E8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Os recursos financeiros destinados à execução do objeto totalizam R$ [VALOR EM ALGARISMOS] ([VALOR POR EXTENSO]).</w:t>
      </w:r>
    </w:p>
    <w:p w14:paraId="4F4F7A1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Os recursos serão transferidos em parcela única para conta bancária específica, de titularidade do AGENTE CULTURAL, aberta exclusivamente para o recebimento e a movimentação dos recursos deste Termo de Execução Cultural.</w:t>
      </w:r>
    </w:p>
    <w:p w14:paraId="370BAE8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A transferência dos recursos está condicionada à disponibilidade orçamentária e financeira e ao cumprimento das exigências previstas no edital e neste instrumento.</w:t>
      </w:r>
    </w:p>
    <w:p w14:paraId="563359A4"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APLICAÇÃO E MOVIMENTAÇÃO DOS RECURSOS</w:t>
      </w:r>
    </w:p>
    <w:p w14:paraId="0B02D84D"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Os recursos e os rendimentos de ativos financeiros deverão ser aplicados exclusivamente no alcance do objeto deste Termo de Execução Cultural.</w:t>
      </w:r>
    </w:p>
    <w:p w14:paraId="0730AEC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Os rendimentos de ativos financeiros poderão ser utilizados em benefício do objeto, sem necessidade de autorização prévia da SEMCE, observadas as regras de alteração previstas neste instrumento.</w:t>
      </w:r>
    </w:p>
    <w:p w14:paraId="71ADF9F5"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A movimentação financeira deverá ocorrer na conta bancária específica durante a vigência do Termo, de modo a permitir a rastreabilidade das receitas e despesas relacionadas à execução da ação cultural.</w:t>
      </w:r>
    </w:p>
    <w:p w14:paraId="3A5B1AE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É vedada a utilização dos recursos para finalidade diversa daquela prevista no projeto cultural aprovado.</w:t>
      </w:r>
    </w:p>
    <w:p w14:paraId="5423BCCD"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OBRIGAÇÕES DAS PARTES</w:t>
      </w:r>
    </w:p>
    <w:p w14:paraId="7A0ED6BE"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São obrigações da SEMCE:</w:t>
      </w:r>
    </w:p>
    <w:p w14:paraId="265121C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Transferir os recursos financeiros ao(à) AGENTE CULTURAL, observada a disponibilidade orçamentária e financeira;</w:t>
      </w:r>
    </w:p>
    <w:p w14:paraId="118A62C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Orientar o(a) AGENTE CULTURAL quanto à execução, ao monitoramento e à prestação de informações do objeto;</w:t>
      </w:r>
    </w:p>
    <w:p w14:paraId="04FD4E8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Acompanhar e monitorar a execução do projeto cultural;</w:t>
      </w:r>
    </w:p>
    <w:p w14:paraId="04BB6FA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IV - Analisar os relatórios e os documentos apresentados pelo(a) AGENTE CULTURAL e emitir manifestação técnica;</w:t>
      </w:r>
    </w:p>
    <w:p w14:paraId="25B66FB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Adotar medidas saneadoras e corretivas quando forem identificadas pendências, inadequações ou situações de inadimplemento;</w:t>
      </w:r>
    </w:p>
    <w:p w14:paraId="62E8C5D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Assegurar o contraditório e a ampla defesa nos procedimentos que possam resultar na aplicação de medidas desfavoráveis ao(à) AGENTE CULTURAL;</w:t>
      </w:r>
    </w:p>
    <w:p w14:paraId="16FA23A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 Publicar o extrato deste Termo de Execução Cultural no Diário Oficial do Município de Maceió; e</w:t>
      </w:r>
    </w:p>
    <w:p w14:paraId="15362B5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 Cumprir as demais obrigações previstas no edital, neste instrumento e na legislação aplicável.</w:t>
      </w:r>
    </w:p>
    <w:p w14:paraId="5A2862A5" w14:textId="77777777" w:rsidR="00EB77E6" w:rsidRDefault="00EB77E6">
      <w:pPr>
        <w:spacing w:after="0" w:line="276" w:lineRule="auto"/>
        <w:ind w:left="720"/>
        <w:jc w:val="both"/>
        <w:rPr>
          <w:rFonts w:ascii="Times New Roman" w:eastAsia="Times New Roman" w:hAnsi="Times New Roman" w:cs="Times New Roman"/>
          <w:sz w:val="24"/>
          <w:szCs w:val="24"/>
        </w:rPr>
      </w:pPr>
    </w:p>
    <w:p w14:paraId="5A5D31D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São obrigações do(a) AGENTE CULTURAL:</w:t>
      </w:r>
    </w:p>
    <w:p w14:paraId="444D5C5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Executar integralmente a ação cultural aprovada, de acordo com o Plano de Trabalho e com as condições estabelecidas neste Termo;</w:t>
      </w:r>
    </w:p>
    <w:p w14:paraId="66DC7D0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Aplicar os recursos concedidos exclusivamente na realização do objeto;</w:t>
      </w:r>
    </w:p>
    <w:p w14:paraId="33B44B7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Manter os recursos financeiros na conta bancária específica e utilizá-la para a movimentação relacionada ao projeto;</w:t>
      </w:r>
    </w:p>
    <w:p w14:paraId="26BF94E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Facilitar o monitoramento, o controle e a supervisão da execução, inclusive permitindo o acesso da SEMCE aos locais de realização das atividades, quando necessário;</w:t>
      </w:r>
    </w:p>
    <w:p w14:paraId="1EC0541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Apresentar o Relatório de Objeto da Execução Cultural, conforme o Anexo III do edital, no prazo previsto na Cláusula 7 deste instrumento;</w:t>
      </w:r>
    </w:p>
    <w:p w14:paraId="5367891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Atender às solicitações regulares da SEMCE nos prazos estabelecidos nas notificações;</w:t>
      </w:r>
    </w:p>
    <w:p w14:paraId="460420A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 Comunicar à SEMCE, de forma fundamentada, fatos que possam comprometer ou alterar a execução do objeto;</w:t>
      </w:r>
    </w:p>
    <w:p w14:paraId="2765C84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 Garantir a implementação das medidas de acessibilidade previstas no projeto e no edital;</w:t>
      </w:r>
    </w:p>
    <w:p w14:paraId="06C1910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IX - Divulgar que a ação cultural é realizada com recursos da Política Nacional Aldir Blanc de Fomento à Cultura - PNAB, utilizando as marcas do Governo Federal e do Município de Maceió, conforme os manuais e orientações aplicáveis;</w:t>
      </w:r>
    </w:p>
    <w:p w14:paraId="4AE4B03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 Observar as vedações da Lei nº 9.504/1997 nos três meses que antecedem as eleições, especialmente quanto à publicidade institucional e à promoção pessoal de agentes públicos;</w:t>
      </w:r>
    </w:p>
    <w:p w14:paraId="4248706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 - Não realizar despesas em data anterior ao início ou posterior ao término da vigência deste Termo de Execução Cultural;</w:t>
      </w:r>
    </w:p>
    <w:p w14:paraId="700C7A5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 - Guardar a documentação relacionada à execução do objeto e à movimentação financeira pelo prazo de 5 (cinco) anos, contado do fim da vigência deste Termo;</w:t>
      </w:r>
    </w:p>
    <w:p w14:paraId="29BDC5B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XIII - Manter atualizados os dados cadastrais, bancários e de contato e, no caso de pessoa jurídica, comunicar eventual substituição do dirigente, apresentando os documentos do novo representante acompanhados da respectiva ata de eleição, termo de posse ou documento equivalente; e</w:t>
      </w:r>
    </w:p>
    <w:p w14:paraId="705748E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XIV - Cumprir as demais obrigações previstas no edital, no Plano de Trabalho, neste instrumento e na legislação aplicável.</w:t>
      </w:r>
    </w:p>
    <w:p w14:paraId="5F94F26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PRESTAÇÃO DE INFORMAÇÕES EM RELATÓRIO DE OBJETO DA EXECUÇÃO CULTURAL</w:t>
      </w:r>
    </w:p>
    <w:p w14:paraId="702438A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O(A) AGENTE CULTURAL prestará informações à Administração Pública por meio da apresentação do Relatório de Objeto da Execução Cultural, conforme modelo constante do Anexo III do edital, no prazo de até 120 (cento e vinte) dias, contado do fim da vigência deste Termo de Execução Cultural.</w:t>
      </w:r>
    </w:p>
    <w:p w14:paraId="389E335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7.1.1 O Relatório de Objeto da Execução Cultural deverá:</w:t>
      </w:r>
    </w:p>
    <w:p w14:paraId="28244DF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comprovar</w:t>
      </w:r>
      <w:proofErr w:type="gramEnd"/>
      <w:r>
        <w:rPr>
          <w:rFonts w:ascii="Times New Roman" w:eastAsia="Times New Roman" w:hAnsi="Times New Roman" w:cs="Times New Roman"/>
          <w:sz w:val="24"/>
          <w:szCs w:val="24"/>
        </w:rPr>
        <w:t xml:space="preserve"> o alcance dos resultados da ação cultural;</w:t>
      </w:r>
    </w:p>
    <w:p w14:paraId="13D01A3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conter</w:t>
      </w:r>
      <w:proofErr w:type="gramEnd"/>
      <w:r>
        <w:rPr>
          <w:rFonts w:ascii="Times New Roman" w:eastAsia="Times New Roman" w:hAnsi="Times New Roman" w:cs="Times New Roman"/>
          <w:sz w:val="24"/>
          <w:szCs w:val="24"/>
        </w:rPr>
        <w:t xml:space="preserve"> a descrição das ações desenvolvidas para o cumprimento do objeto e das metas; e</w:t>
      </w:r>
    </w:p>
    <w:p w14:paraId="318B1BE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estar acompanhado de documentos de comprovação da execução, tais como registros fotográficos ou audiovisuais, listas de presença, declarações de realização, materiais de divulgação, clipping de imprensa, folders, catálogos, publicações, links, depoimentos e outros documentos pertinentes.</w:t>
      </w:r>
    </w:p>
    <w:p w14:paraId="40BB52C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O agente público responsável pela análise do Relatório de Objeto da Execução Cultural elaborará parecer técnico e concluirá:</w:t>
      </w:r>
    </w:p>
    <w:p w14:paraId="6D63638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pelo</w:t>
      </w:r>
      <w:proofErr w:type="gramEnd"/>
      <w:r>
        <w:rPr>
          <w:rFonts w:ascii="Times New Roman" w:eastAsia="Times New Roman" w:hAnsi="Times New Roman" w:cs="Times New Roman"/>
          <w:sz w:val="24"/>
          <w:szCs w:val="24"/>
        </w:rPr>
        <w:t xml:space="preserve"> cumprimento integral do objeto ou pela suficiência do cumprimento parcial devidamente justificado, com encaminhamento do processo à autoridade responsável pelo julgamento;</w:t>
      </w:r>
    </w:p>
    <w:p w14:paraId="18EEE81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pela</w:t>
      </w:r>
      <w:proofErr w:type="gramEnd"/>
      <w:r>
        <w:rPr>
          <w:rFonts w:ascii="Times New Roman" w:eastAsia="Times New Roman" w:hAnsi="Times New Roman" w:cs="Times New Roman"/>
          <w:sz w:val="24"/>
          <w:szCs w:val="24"/>
        </w:rPr>
        <w:t xml:space="preserve"> necessidade de apresentação de documentação complementar relativa ao cumprimento do objeto; ou</w:t>
      </w:r>
    </w:p>
    <w:p w14:paraId="204AD2D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pela necessidade de apresentação do Relatório Financeiro da Execução Cultural, quando os elementos disponíveis forem insuficientes para demonstrar o cumprimento integral do objeto ou o cumprimento parcial justificado.</w:t>
      </w:r>
    </w:p>
    <w:p w14:paraId="718727B7" w14:textId="77777777" w:rsidR="00EB77E6" w:rsidRDefault="00EB77E6">
      <w:pPr>
        <w:spacing w:after="0" w:line="276" w:lineRule="auto"/>
        <w:ind w:left="720"/>
        <w:jc w:val="both"/>
        <w:rPr>
          <w:rFonts w:ascii="Times New Roman" w:eastAsia="Times New Roman" w:hAnsi="Times New Roman" w:cs="Times New Roman"/>
          <w:sz w:val="24"/>
          <w:szCs w:val="24"/>
        </w:rPr>
      </w:pPr>
    </w:p>
    <w:p w14:paraId="690B9EB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Após o recebimento do processo, a autoridade responsável pelo julgamento da prestação de informações poderá:</w:t>
      </w:r>
    </w:p>
    <w:p w14:paraId="7DD51A2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solicitar</w:t>
      </w:r>
      <w:proofErr w:type="gramEnd"/>
      <w:r>
        <w:rPr>
          <w:rFonts w:ascii="Times New Roman" w:eastAsia="Times New Roman" w:hAnsi="Times New Roman" w:cs="Times New Roman"/>
          <w:sz w:val="24"/>
          <w:szCs w:val="24"/>
        </w:rPr>
        <w:t xml:space="preserve"> documentação complementar;</w:t>
      </w:r>
    </w:p>
    <w:p w14:paraId="735999D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aprovar</w:t>
      </w:r>
      <w:proofErr w:type="gramEnd"/>
      <w:r>
        <w:rPr>
          <w:rFonts w:ascii="Times New Roman" w:eastAsia="Times New Roman" w:hAnsi="Times New Roman" w:cs="Times New Roman"/>
          <w:sz w:val="24"/>
          <w:szCs w:val="24"/>
        </w:rPr>
        <w:t xml:space="preserve"> sem ressalvas a prestação de informações, quando comprovado o cumprimento integral do objeto;</w:t>
      </w:r>
    </w:p>
    <w:p w14:paraId="4F70C6F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aprovar com ressalvas a prestação de informações, quando comprovada a realização da ação cultural, mas identificada inadequação na execução do objeto ou na execução financeira, sem má-fé; ou</w:t>
      </w:r>
    </w:p>
    <w:p w14:paraId="348DF28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 </w:t>
      </w:r>
      <w:proofErr w:type="gramStart"/>
      <w:r>
        <w:rPr>
          <w:rFonts w:ascii="Times New Roman" w:eastAsia="Times New Roman" w:hAnsi="Times New Roman" w:cs="Times New Roman"/>
          <w:sz w:val="24"/>
          <w:szCs w:val="24"/>
        </w:rPr>
        <w:t>rejeitar</w:t>
      </w:r>
      <w:proofErr w:type="gramEnd"/>
      <w:r>
        <w:rPr>
          <w:rFonts w:ascii="Times New Roman" w:eastAsia="Times New Roman" w:hAnsi="Times New Roman" w:cs="Times New Roman"/>
          <w:sz w:val="24"/>
          <w:szCs w:val="24"/>
        </w:rPr>
        <w:t xml:space="preserve"> total ou parcialmente a prestação de informações e determinar, conforme o caso e a legislação aplicável:</w:t>
      </w:r>
    </w:p>
    <w:p w14:paraId="449E2E7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 devolução de recursos em valor proporcional à inexecução do objeto;</w:t>
      </w:r>
    </w:p>
    <w:p w14:paraId="036943A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o pagamento de multa, nos termos da regulamentação aplicável; ou</w:t>
      </w:r>
    </w:p>
    <w:p w14:paraId="78552EE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a suspensão da possibilidade de celebrar novo instrumento no regime próprio de fomento à cultura pelo prazo de 180 (cento e oitenta) a 540 (quinhentos e quarenta) dias.</w:t>
      </w:r>
    </w:p>
    <w:p w14:paraId="76F4B6C5" w14:textId="77777777" w:rsidR="00EB77E6" w:rsidRDefault="00EB77E6">
      <w:pPr>
        <w:spacing w:after="0" w:line="276" w:lineRule="auto"/>
        <w:ind w:left="720"/>
        <w:jc w:val="both"/>
        <w:rPr>
          <w:rFonts w:ascii="Times New Roman" w:eastAsia="Times New Roman" w:hAnsi="Times New Roman" w:cs="Times New Roman"/>
          <w:sz w:val="24"/>
          <w:szCs w:val="24"/>
        </w:rPr>
      </w:pPr>
    </w:p>
    <w:p w14:paraId="25148A9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O Relatório Financeiro da Execução Cultural será exigido somente nas seguintes hipóteses:</w:t>
      </w:r>
    </w:p>
    <w:p w14:paraId="2015B9C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Quando não estiver comprovado o cumprimento do objeto, após observados os procedimentos previstos nos itens anteriores; ou</w:t>
      </w:r>
    </w:p>
    <w:p w14:paraId="7C847827"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Quando for recebida denúncia de irregularidade na execução da ação cultural, após juízo de admissibilidade que avalie os elementos fáticos apresentados.</w:t>
      </w:r>
    </w:p>
    <w:p w14:paraId="01027C37" w14:textId="77777777" w:rsidR="00EB77E6" w:rsidRDefault="00EB77E6">
      <w:pPr>
        <w:spacing w:after="0" w:line="276" w:lineRule="auto"/>
        <w:ind w:left="720"/>
        <w:jc w:val="both"/>
        <w:rPr>
          <w:rFonts w:ascii="Times New Roman" w:eastAsia="Times New Roman" w:hAnsi="Times New Roman" w:cs="Times New Roman"/>
          <w:sz w:val="24"/>
          <w:szCs w:val="24"/>
        </w:rPr>
      </w:pPr>
    </w:p>
    <w:p w14:paraId="5763E9D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7.4.1 O prazo para apresentação do Relatório Financeiro da Execução Cultural será de até 120 (cento e vinte) dias, contado do recebimento da notificação.</w:t>
      </w:r>
    </w:p>
    <w:p w14:paraId="2F0E2510"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Na hipótese de o julgamento apontar a necessidade de devolução de recursos, o(a) AGENTE CULTURAL será notificado(a) para optar, nos limites da legislação aplicável, por:</w:t>
      </w:r>
    </w:p>
    <w:p w14:paraId="4CB09AD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Devolução parcial ou integral dos recursos ao erário;</w:t>
      </w:r>
    </w:p>
    <w:p w14:paraId="2E314DF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Apresentação de plano de ações compensatórias; ou</w:t>
      </w:r>
    </w:p>
    <w:p w14:paraId="34892CD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Devolução parcial dos recursos ao erário acompanhada da apresentação de plano de ações compensatórias.</w:t>
      </w:r>
    </w:p>
    <w:p w14:paraId="0D88FBDC" w14:textId="77777777" w:rsidR="00EB77E6" w:rsidRDefault="00EB77E6">
      <w:pPr>
        <w:spacing w:after="0" w:line="276" w:lineRule="auto"/>
        <w:ind w:left="720"/>
        <w:jc w:val="both"/>
        <w:rPr>
          <w:rFonts w:ascii="Times New Roman" w:eastAsia="Times New Roman" w:hAnsi="Times New Roman" w:cs="Times New Roman"/>
          <w:sz w:val="24"/>
          <w:szCs w:val="24"/>
        </w:rPr>
      </w:pPr>
    </w:p>
    <w:p w14:paraId="5B32E7A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7.5.1 A ocorrência comprovada de caso fortuito ou força maior que impeça a execução do instrumento afasta a reprovação da prestação de informações.</w:t>
      </w:r>
    </w:p>
    <w:p w14:paraId="4AEE15D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7.5.2 Quando estiver caracterizada má-fé do(a) AGENTE CULTURAL, será exigida a devolução dos recursos ao erário, vedada a aceitação de plano de ações compensatórias.</w:t>
      </w:r>
    </w:p>
    <w:p w14:paraId="2AC88B9C"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7.5.3 Havendo obrigação de devolução de recursos, o(a) AGENTE CULTURAL poderá solicitar o parcelamento do débito, na forma e nas condições previstas na legislação aplicável.</w:t>
      </w:r>
    </w:p>
    <w:p w14:paraId="6AA0A37B"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ALTERAÇÃO DO TERMO DE EXECUÇÃO CULTURAL</w:t>
      </w:r>
    </w:p>
    <w:p w14:paraId="2FAC8E4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A alteração deste Termo de Execução Cultural será formalizada por meio de termo aditivo, quando necessária.</w:t>
      </w:r>
    </w:p>
    <w:p w14:paraId="09DB4FE1"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A formalização de termo aditivo não será necessária nas seguintes hipóteses:</w:t>
      </w:r>
    </w:p>
    <w:p w14:paraId="3D94178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Prorrogação de vigência realizada de ofício pela Administração Pública quando esta der causa ao atraso na liberação dos recursos; e</w:t>
      </w:r>
    </w:p>
    <w:p w14:paraId="7558212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Alteração do projeto sem modificação do valor global do instrumento e sem modificação substancial do objeto.</w:t>
      </w:r>
    </w:p>
    <w:p w14:paraId="50FD10CA"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8.3 Na hipótese de prorrogação de vigência, o saldo de recursos permanecerá automaticamente na conta bancária específica para viabilizar a continuidade da execução do objeto.</w:t>
      </w:r>
    </w:p>
    <w:p w14:paraId="1779E8A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As alterações do projeto cujo escopo seja de, no máximo, 20% (vinte por cento) do valor total poderão ser realizadas pelo(a) AGENTE CULTURAL e comunicadas à SEMCE em seguida, sem necessidade de autorização prévia, desde que não impliquem modificação substancial do objeto.</w:t>
      </w:r>
    </w:p>
    <w:p w14:paraId="3ADE3AC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A aplicação de rendimentos de ativos financeiros em benefício do objeto poderá ser realizada sem autorização prévia da SEMCE.</w:t>
      </w:r>
    </w:p>
    <w:p w14:paraId="7A810F3F"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Nas hipóteses em que não for necessário termo aditivo, a alteração poderá ser formalizada por apostilamento ou registrada no processo administrativo, conforme o caso.</w:t>
      </w:r>
    </w:p>
    <w:p w14:paraId="4432DDDF"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TITULARIDADE DOS BENS</w:t>
      </w:r>
    </w:p>
    <w:p w14:paraId="6E7682C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Os bens permanentes adquiridos, produzidos ou transformados em decorrência da execução da ação cultural poderão ser de titularidade do agente cultural desde a data de sua aquisição, desde que configurada uma das hipóteses previstas no art. 16 da Lei nº 14.903/2024.</w:t>
      </w:r>
    </w:p>
    <w:p w14:paraId="5383490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Na hipótese de rejeição da prestação de informações em razão da aquisição ou do uso irregular de bem permanente, o valor correspondente será considerado no cálculo dos valores a devolver, com a atualização cabível.</w:t>
      </w:r>
    </w:p>
    <w:p w14:paraId="6E94A75E"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 EXTINÇÃO DO TERMO DE EXECUÇÃO CULTURAL</w:t>
      </w:r>
    </w:p>
    <w:p w14:paraId="57E5B29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O presente Termo de Execução Cultural poderá ser:</w:t>
      </w:r>
    </w:p>
    <w:p w14:paraId="220124F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Extinto pelo decurso do prazo de vigência;</w:t>
      </w:r>
    </w:p>
    <w:p w14:paraId="20F511D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Extinto de comum acordo antes do prazo, mediante Termo de Distrato;</w:t>
      </w:r>
    </w:p>
    <w:p w14:paraId="74B96E31"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Denunciado por decisão unilateral de qualquer das partes, independentemente de autorização judicial, mediante prévia notificação por escrito; ou</w:t>
      </w:r>
    </w:p>
    <w:p w14:paraId="08C543E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Rescindido por decisão unilateral, independentemente de autorização judicial, mediante prévia notificação por escrito, nas seguintes hipóteses:</w:t>
      </w:r>
    </w:p>
    <w:p w14:paraId="12CA3F7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descumprimento injustificado de cláusula deste instrumento;</w:t>
      </w:r>
    </w:p>
    <w:p w14:paraId="73F2B16B"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irregularidade ou inexecução injustificada, ainda que parcial, do objeto, dos resultados ou das metas pactuadas;</w:t>
      </w:r>
    </w:p>
    <w:p w14:paraId="408D3E3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violação da legislação aplicável;</w:t>
      </w:r>
    </w:p>
    <w:p w14:paraId="0599D1C7"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cometimento de falhas reiteradas na execução;</w:t>
      </w:r>
    </w:p>
    <w:p w14:paraId="79117F6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má administração dos recursos públicos;</w:t>
      </w:r>
    </w:p>
    <w:p w14:paraId="2F528B6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constatação de falsidade ou fraude nas informações ou nos documentos apresentados;</w:t>
      </w:r>
    </w:p>
    <w:p w14:paraId="0CBA022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não atendimento às recomendações ou determinações decorrentes do monitoramento e da fiscalização; ou</w:t>
      </w:r>
    </w:p>
    <w:p w14:paraId="56F1339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outras hipóteses previstas na legislação aplicável.</w:t>
      </w:r>
    </w:p>
    <w:p w14:paraId="7E54DBC7" w14:textId="77777777" w:rsidR="00EB77E6" w:rsidRDefault="00EB77E6">
      <w:pPr>
        <w:spacing w:after="0" w:line="276" w:lineRule="auto"/>
        <w:ind w:left="720"/>
        <w:jc w:val="both"/>
        <w:rPr>
          <w:rFonts w:ascii="Times New Roman" w:eastAsia="Times New Roman" w:hAnsi="Times New Roman" w:cs="Times New Roman"/>
          <w:sz w:val="24"/>
          <w:szCs w:val="24"/>
        </w:rPr>
      </w:pPr>
    </w:p>
    <w:p w14:paraId="18805CC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 Os casos de rescisão unilateral serão formalmente motivados no processo administrativo, assegurados o contraditório e a ampla defesa, com prazo de 10 (dez) dias para apresentação de defesa, contado da abertura de vista do processo.</w:t>
      </w:r>
    </w:p>
    <w:p w14:paraId="0F73FEF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Na hipótese de irregularidade que resulte em dano ao erário, poderá ser instaurada Tomada de Contas Especial caso os valores relacionados à irregularidade não sejam devolvidos no prazo estabelecido pela Administração Pública.</w:t>
      </w:r>
    </w:p>
    <w:p w14:paraId="7008CD7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As situações relativas à extinção deste Termo não previstas expressamente poderão ser solucionadas de comum acordo entre as partes ou conforme a legislação aplicável.</w:t>
      </w:r>
    </w:p>
    <w:p w14:paraId="1CBF9E4F"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MONITORAMENTO E CONTROLE DE RESULTADOS</w:t>
      </w:r>
    </w:p>
    <w:p w14:paraId="7E290035"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A SEMCE realizará o monitoramento e o controle de resultados por meio da unidade responsável, de agente público formalmente designado ou de comissão competente, observados os princípios da simplificação, da proporcionalidade, da razoabilidade e do foco no cumprimento do objeto.</w:t>
      </w:r>
    </w:p>
    <w:p w14:paraId="05F9E45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O monitoramento poderá ser realizado por análise técnica, acompanhamento documental, verificação presencial ou visita técnica por amostragem, quando necessária e compatível com a capacidade operacional da SEMCE, e poderá compreender, entre outras medidas:</w:t>
      </w:r>
    </w:p>
    <w:p w14:paraId="5EB9DDC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Análise de informações e documentos apresentados pelo(a) AGENTE CULTURAL;</w:t>
      </w:r>
    </w:p>
    <w:p w14:paraId="1B7F1FE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Acompanhamento de registros de divulgação, fotografias, vídeos, listas de presença, produtos e demais evidências de execução;</w:t>
      </w:r>
    </w:p>
    <w:p w14:paraId="76F6876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Comunicação direta com o(a) AGENTE CULTURAL para esclarecimentos e orientações;</w:t>
      </w:r>
    </w:p>
    <w:p w14:paraId="6AB548A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Visitas técnicas ou verificação presencial, quando necessárias e possíveis; e</w:t>
      </w:r>
    </w:p>
    <w:p w14:paraId="47B0ADB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Solicitação de informações complementares relacionadas ao cumprimento do objeto.</w:t>
      </w:r>
    </w:p>
    <w:p w14:paraId="600451A4" w14:textId="77777777" w:rsidR="00EB77E6" w:rsidRDefault="00EB77E6">
      <w:pPr>
        <w:spacing w:after="0" w:line="276" w:lineRule="auto"/>
        <w:ind w:left="720"/>
        <w:jc w:val="both"/>
        <w:rPr>
          <w:rFonts w:ascii="Times New Roman" w:eastAsia="Times New Roman" w:hAnsi="Times New Roman" w:cs="Times New Roman"/>
          <w:sz w:val="24"/>
          <w:szCs w:val="24"/>
        </w:rPr>
      </w:pPr>
    </w:p>
    <w:p w14:paraId="20BCE17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O monitoramento terá como referência este Termo de Execução Cultural, o Plano de Trabalho aprovado e o respectivo cronograma de execução, sem prejuízo de outros documentos integrantes do processo administrativo.</w:t>
      </w:r>
    </w:p>
    <w:p w14:paraId="09224064"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Compete ao agente público, fiscal ou unidade responsável pelo monitoramento, quando formalmente designado:</w:t>
      </w:r>
    </w:p>
    <w:p w14:paraId="020CEB9D"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Acompanhar a execução do objeto e verificar sua compatibilidade com o Plano de Trabalho aprovado;</w:t>
      </w:r>
    </w:p>
    <w:p w14:paraId="44B78AC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Registrar as ocorrências relacionadas à execução e solicitar esclarecimentos ou medidas de regularização, quando necessários;</w:t>
      </w:r>
    </w:p>
    <w:p w14:paraId="5052C1B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 - Comunicar formalmente à unidade competente as irregularidades constatadas que possam ensejar medidas saneadoras, corretivas ou sancionatórias, assegurado o contraditório e a ampla defesa; e</w:t>
      </w:r>
    </w:p>
    <w:p w14:paraId="11DF664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Elaborar os registros, relatórios ou manifestações técnicas necessários ao acompanhamento do instrumento.</w:t>
      </w:r>
    </w:p>
    <w:p w14:paraId="42635383" w14:textId="77777777" w:rsidR="00EB77E6" w:rsidRDefault="00EB77E6">
      <w:pPr>
        <w:spacing w:after="0" w:line="276" w:lineRule="auto"/>
        <w:ind w:left="720"/>
        <w:jc w:val="both"/>
        <w:rPr>
          <w:rFonts w:ascii="Times New Roman" w:eastAsia="Times New Roman" w:hAnsi="Times New Roman" w:cs="Times New Roman"/>
          <w:sz w:val="24"/>
          <w:szCs w:val="24"/>
        </w:rPr>
      </w:pPr>
    </w:p>
    <w:p w14:paraId="7787986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O monitoramento realizado pela SEMCE não exclui nem reduz a responsabilidade do(a) AGENTE CULTURAL pela execução integral do objeto, pela veracidade das informações apresentadas e pelo cumprimento das obrigações assumidas.</w:t>
      </w:r>
    </w:p>
    <w:p w14:paraId="27EDF8F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VIGÊNCIA</w:t>
      </w:r>
    </w:p>
    <w:p w14:paraId="6F74DDE4"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A vigência deste Termo de Execução Cultural será de 12 (doze) meses, contados da data de sua assinatura, admitida prorrogação na forma da legislação aplicável.</w:t>
      </w:r>
    </w:p>
    <w:p w14:paraId="71715C9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A execução das atividades e a realização das despesas deverão ocorrer dentro do período de vigência, ressalvadas as hipóteses expressamente previstas na legislação.</w:t>
      </w:r>
    </w:p>
    <w:p w14:paraId="24F97135"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 PUBLICAÇÃO</w:t>
      </w:r>
    </w:p>
    <w:p w14:paraId="1078D73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O extrato deste Termo de Execução Cultural será publicado no Diário Oficial do Município de Maceió, como condição de eficácia, observadas as normas aplicáveis.</w:t>
      </w:r>
    </w:p>
    <w:p w14:paraId="06E463F2"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 FORO</w:t>
      </w:r>
    </w:p>
    <w:p w14:paraId="02DAF90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Fica eleito o Foro da Comarca de Maceió, Estado de Alagoas, para dirimir questões decorrentes deste instrumento que não possam ser solucionadas administrativamente.</w:t>
      </w:r>
    </w:p>
    <w:p w14:paraId="259071A3" w14:textId="77777777" w:rsidR="00EB77E6" w:rsidRDefault="00EB77E6">
      <w:pPr>
        <w:jc w:val="both"/>
        <w:rPr>
          <w:rFonts w:ascii="Times New Roman" w:eastAsia="Times New Roman" w:hAnsi="Times New Roman" w:cs="Times New Roman"/>
          <w:sz w:val="24"/>
          <w:szCs w:val="24"/>
        </w:rPr>
      </w:pPr>
    </w:p>
    <w:p w14:paraId="316449DE" w14:textId="77777777" w:rsidR="00EB77E6" w:rsidRDefault="00000000">
      <w:pPr>
        <w:pBdr>
          <w:top w:val="nil"/>
          <w:left w:val="nil"/>
          <w:bottom w:val="nil"/>
          <w:right w:val="nil"/>
          <w:between w:val="nil"/>
        </w:pBdr>
        <w:spacing w:before="280" w:after="80"/>
        <w:jc w:val="right"/>
        <w:rPr>
          <w:rFonts w:ascii="Arial" w:eastAsia="Arial" w:hAnsi="Arial" w:cs="Arial"/>
          <w:color w:val="000000"/>
          <w:sz w:val="21"/>
          <w:szCs w:val="21"/>
        </w:rPr>
      </w:pPr>
      <w:r>
        <w:rPr>
          <w:rFonts w:ascii="Arial" w:eastAsia="Arial" w:hAnsi="Arial" w:cs="Arial"/>
          <w:color w:val="000000"/>
          <w:sz w:val="21"/>
          <w:szCs w:val="21"/>
        </w:rPr>
        <w:t>Maceió, AL _____ de __________________ de 2026.</w:t>
      </w:r>
    </w:p>
    <w:p w14:paraId="6F729759" w14:textId="77777777" w:rsidR="00EB77E6" w:rsidRDefault="00EB77E6">
      <w:pPr>
        <w:pBdr>
          <w:top w:val="nil"/>
          <w:left w:val="nil"/>
          <w:bottom w:val="nil"/>
          <w:right w:val="nil"/>
          <w:between w:val="nil"/>
        </w:pBdr>
        <w:spacing w:before="280" w:after="80"/>
        <w:jc w:val="right"/>
        <w:rPr>
          <w:rFonts w:ascii="Arial" w:eastAsia="Arial" w:hAnsi="Arial" w:cs="Arial"/>
          <w:color w:val="000000"/>
          <w:sz w:val="21"/>
          <w:szCs w:val="21"/>
        </w:rPr>
      </w:pPr>
    </w:p>
    <w:tbl>
      <w:tblPr>
        <w:tblStyle w:val="a5"/>
        <w:tblW w:w="9184" w:type="dxa"/>
        <w:jc w:val="center"/>
        <w:tblInd w:w="0" w:type="dxa"/>
        <w:tblLayout w:type="fixed"/>
        <w:tblLook w:val="0400" w:firstRow="0" w:lastRow="0" w:firstColumn="0" w:lastColumn="0" w:noHBand="0" w:noVBand="1"/>
      </w:tblPr>
      <w:tblGrid>
        <w:gridCol w:w="4592"/>
        <w:gridCol w:w="4592"/>
      </w:tblGrid>
      <w:tr w:rsidR="00EB77E6" w14:paraId="7231FBB1" w14:textId="77777777">
        <w:trPr>
          <w:cantSplit/>
          <w:jc w:val="center"/>
        </w:trPr>
        <w:tc>
          <w:tcPr>
            <w:tcW w:w="4592" w:type="dxa"/>
            <w:tcBorders>
              <w:top w:val="nil"/>
              <w:left w:val="nil"/>
              <w:bottom w:val="nil"/>
              <w:right w:val="nil"/>
            </w:tcBorders>
            <w:tcMar>
              <w:top w:w="120" w:type="dxa"/>
              <w:left w:w="90" w:type="dxa"/>
              <w:bottom w:w="80" w:type="dxa"/>
              <w:right w:w="90" w:type="dxa"/>
            </w:tcMar>
          </w:tcPr>
          <w:p w14:paraId="1A251909" w14:textId="77777777" w:rsidR="00EB77E6" w:rsidRDefault="00000000">
            <w:pPr>
              <w:spacing w:before="160"/>
              <w:jc w:val="center"/>
            </w:pPr>
            <w:r>
              <w:rPr>
                <w:rFonts w:ascii="Arial" w:eastAsia="Arial" w:hAnsi="Arial" w:cs="Arial"/>
                <w:sz w:val="19"/>
                <w:szCs w:val="19"/>
              </w:rPr>
              <w:t>__________________________________</w:t>
            </w:r>
          </w:p>
          <w:p w14:paraId="1C3E30BC" w14:textId="77777777" w:rsidR="00EB77E6" w:rsidRDefault="00000000">
            <w:pPr>
              <w:spacing w:after="20"/>
              <w:jc w:val="center"/>
            </w:pPr>
            <w:r>
              <w:rPr>
                <w:rFonts w:ascii="Arial" w:eastAsia="Arial" w:hAnsi="Arial" w:cs="Arial"/>
                <w:b/>
                <w:bCs/>
                <w:sz w:val="19"/>
                <w:szCs w:val="19"/>
              </w:rPr>
              <w:t>ALAN HELTON DE OMENA BALBINO</w:t>
            </w:r>
          </w:p>
          <w:p w14:paraId="18E05432" w14:textId="77777777" w:rsidR="00EB77E6" w:rsidRDefault="00000000">
            <w:pPr>
              <w:spacing w:after="20"/>
              <w:jc w:val="center"/>
            </w:pPr>
            <w:r>
              <w:rPr>
                <w:rFonts w:ascii="Arial" w:eastAsia="Arial" w:hAnsi="Arial" w:cs="Arial"/>
                <w:sz w:val="19"/>
                <w:szCs w:val="19"/>
              </w:rPr>
              <w:t>Secretário Municipal de Cultura e Economia Criativa</w:t>
            </w:r>
          </w:p>
          <w:p w14:paraId="710AC8F8" w14:textId="77777777" w:rsidR="00EB77E6" w:rsidRDefault="00000000">
            <w:pPr>
              <w:spacing w:after="20"/>
              <w:jc w:val="center"/>
            </w:pPr>
            <w:r>
              <w:rPr>
                <w:rFonts w:ascii="Arial" w:eastAsia="Arial" w:hAnsi="Arial" w:cs="Arial"/>
                <w:b/>
                <w:bCs/>
                <w:sz w:val="19"/>
                <w:szCs w:val="19"/>
              </w:rPr>
              <w:t>MUNICÍPIO DE MACEIÓ / SEMCE</w:t>
            </w:r>
          </w:p>
        </w:tc>
        <w:tc>
          <w:tcPr>
            <w:tcW w:w="4592" w:type="dxa"/>
            <w:tcBorders>
              <w:top w:val="nil"/>
              <w:left w:val="nil"/>
              <w:bottom w:val="nil"/>
              <w:right w:val="nil"/>
            </w:tcBorders>
            <w:tcMar>
              <w:top w:w="120" w:type="dxa"/>
              <w:left w:w="90" w:type="dxa"/>
              <w:bottom w:w="80" w:type="dxa"/>
              <w:right w:w="90" w:type="dxa"/>
            </w:tcMar>
          </w:tcPr>
          <w:p w14:paraId="45CCC4E2" w14:textId="77777777" w:rsidR="00EB77E6" w:rsidRDefault="00000000">
            <w:pPr>
              <w:spacing w:before="160"/>
              <w:jc w:val="center"/>
            </w:pPr>
            <w:r>
              <w:rPr>
                <w:rFonts w:ascii="Arial" w:eastAsia="Arial" w:hAnsi="Arial" w:cs="Arial"/>
                <w:sz w:val="19"/>
                <w:szCs w:val="19"/>
              </w:rPr>
              <w:t>__________________________________</w:t>
            </w:r>
          </w:p>
          <w:p w14:paraId="5BA9F66E" w14:textId="77777777" w:rsidR="00EB77E6" w:rsidRDefault="00000000">
            <w:pPr>
              <w:spacing w:after="20"/>
              <w:jc w:val="center"/>
            </w:pPr>
            <w:r>
              <w:rPr>
                <w:rFonts w:ascii="Arial" w:eastAsia="Arial" w:hAnsi="Arial" w:cs="Arial"/>
                <w:b/>
                <w:bCs/>
                <w:sz w:val="19"/>
                <w:szCs w:val="19"/>
              </w:rPr>
              <w:t>[NOME DO AGENTE CULTURAL OU REPRESENTANTE]</w:t>
            </w:r>
          </w:p>
          <w:p w14:paraId="225FBC1E" w14:textId="77777777" w:rsidR="00EB77E6" w:rsidRDefault="00000000">
            <w:pPr>
              <w:spacing w:after="20"/>
              <w:jc w:val="center"/>
            </w:pPr>
            <w:r>
              <w:rPr>
                <w:rFonts w:ascii="Arial" w:eastAsia="Arial" w:hAnsi="Arial" w:cs="Arial"/>
                <w:sz w:val="19"/>
                <w:szCs w:val="19"/>
              </w:rPr>
              <w:t>CPF: [NÚMERO]</w:t>
            </w:r>
          </w:p>
          <w:p w14:paraId="4DC0A2CA" w14:textId="77777777" w:rsidR="00EB77E6" w:rsidRDefault="00000000">
            <w:pPr>
              <w:spacing w:after="20"/>
              <w:jc w:val="center"/>
            </w:pPr>
            <w:r>
              <w:rPr>
                <w:rFonts w:ascii="Arial" w:eastAsia="Arial" w:hAnsi="Arial" w:cs="Arial"/>
                <w:b/>
                <w:bCs/>
                <w:sz w:val="19"/>
                <w:szCs w:val="19"/>
              </w:rPr>
              <w:t>AGENTE CULTURAL</w:t>
            </w:r>
          </w:p>
        </w:tc>
      </w:tr>
    </w:tbl>
    <w:p w14:paraId="0291AD1D" w14:textId="77777777" w:rsidR="00EB77E6" w:rsidRDefault="00EB77E6">
      <w:pPr>
        <w:jc w:val="both"/>
        <w:rPr>
          <w:rFonts w:ascii="Times New Roman" w:eastAsia="Times New Roman" w:hAnsi="Times New Roman" w:cs="Times New Roman"/>
          <w:sz w:val="24"/>
          <w:szCs w:val="24"/>
        </w:rPr>
      </w:pPr>
    </w:p>
    <w:p w14:paraId="29AAF619" w14:textId="77777777" w:rsidR="00EB77E6" w:rsidRDefault="00EB77E6">
      <w:pPr>
        <w:rPr>
          <w:rFonts w:ascii="Times New Roman" w:eastAsia="Times New Roman" w:hAnsi="Times New Roman" w:cs="Times New Roman"/>
          <w:sz w:val="24"/>
          <w:szCs w:val="24"/>
        </w:rPr>
      </w:pPr>
    </w:p>
    <w:sectPr w:rsidR="00EB77E6">
      <w:headerReference w:type="even" r:id="rId7"/>
      <w:headerReference w:type="default" r:id="rId8"/>
      <w:footerReference w:type="default" r:id="rId9"/>
      <w:headerReference w:type="first" r:id="rId10"/>
      <w:pgSz w:w="11906" w:h="16838"/>
      <w:pgMar w:top="1702" w:right="1416" w:bottom="1560" w:left="1843"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32C66" w14:textId="77777777" w:rsidR="00496BDC" w:rsidRDefault="00496BDC">
      <w:pPr>
        <w:spacing w:after="0" w:line="240" w:lineRule="auto"/>
      </w:pPr>
      <w:r>
        <w:separator/>
      </w:r>
    </w:p>
  </w:endnote>
  <w:endnote w:type="continuationSeparator" w:id="0">
    <w:p w14:paraId="2C274920" w14:textId="77777777" w:rsidR="00496BDC" w:rsidRDefault="00496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2F745F7-0350-451E-AD59-7AAE20E4C40C}"/>
    <w:embedItalic r:id="rId2" w:fontKey="{9A575078-704C-4AC5-BAF1-0015F49D261A}"/>
  </w:font>
  <w:font w:name="Play">
    <w:charset w:val="00"/>
    <w:family w:val="auto"/>
    <w:pitch w:val="default"/>
    <w:embedRegular r:id="rId3" w:fontKey="{57E7BD4C-FAA3-4851-B471-E3752A2F1B69}"/>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53B3DE8F-0B40-4154-908B-20634262FAAF}"/>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B2E99837-0685-4FB0-BA70-512B0CF06D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ACF8" w14:textId="77777777" w:rsidR="00EB77E6"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mc:AlternateContent>
        <mc:Choice Requires="wpg">
          <w:drawing>
            <wp:anchor distT="0" distB="0" distL="0" distR="0" simplePos="0" relativeHeight="251656192" behindDoc="1" locked="0" layoutInCell="1" hidden="0" allowOverlap="1" wp14:anchorId="6599F85A" wp14:editId="5ED97B92">
              <wp:simplePos x="0" y="0"/>
              <wp:positionH relativeFrom="column">
                <wp:posOffset>933224</wp:posOffset>
              </wp:positionH>
              <wp:positionV relativeFrom="paragraph">
                <wp:posOffset>-30364</wp:posOffset>
              </wp:positionV>
              <wp:extent cx="3514631" cy="712583"/>
              <wp:effectExtent l="0" t="0" r="0" b="0"/>
              <wp:wrapNone/>
              <wp:docPr id="1985070977" name="Retângulo: Cantos Arredondados 1985070977"/>
              <wp:cNvGraphicFramePr/>
              <a:graphic xmlns:a="http://schemas.openxmlformats.org/drawingml/2006/main">
                <a:graphicData uri="http://schemas.microsoft.com/office/word/2010/wordprocessingShape">
                  <wps:wsp>
                    <wps:cNvSpPr/>
                    <wps:spPr>
                      <a:xfrm>
                        <a:off x="3607735" y="3442759"/>
                        <a:ext cx="3476531" cy="674483"/>
                      </a:xfrm>
                      <a:prstGeom prst="roundRect">
                        <a:avLst>
                          <a:gd name="adj" fmla="val 16667"/>
                        </a:avLst>
                      </a:prstGeom>
                      <a:solidFill>
                        <a:schemeClr val="lt1"/>
                      </a:solidFill>
                      <a:ln w="19050" cap="flat" cmpd="sng">
                        <a:solidFill>
                          <a:schemeClr val="lt1"/>
                        </a:solidFill>
                        <a:prstDash val="solid"/>
                        <a:miter lim="8000"/>
                        <a:headEnd type="none" w="sm" len="sm"/>
                        <a:tailEnd type="none" w="sm" len="sm"/>
                      </a:ln>
                    </wps:spPr>
                    <wps:txbx>
                      <w:txbxContent>
                        <w:p w14:paraId="77C0C046" w14:textId="77777777" w:rsidR="00EB77E6" w:rsidRDefault="00EB77E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933224</wp:posOffset>
              </wp:positionH>
              <wp:positionV relativeFrom="paragraph">
                <wp:posOffset>-30364</wp:posOffset>
              </wp:positionV>
              <wp:extent cx="3514631" cy="712583"/>
              <wp:effectExtent b="0" l="0" r="0" t="0"/>
              <wp:wrapNone/>
              <wp:docPr id="198507097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14631" cy="712583"/>
                      </a:xfrm>
                      <a:prstGeom prst="rect"/>
                      <a:ln/>
                    </pic:spPr>
                  </pic:pic>
                </a:graphicData>
              </a:graphic>
            </wp:anchor>
          </w:drawing>
        </mc:Fallback>
      </mc:AlternateContent>
    </w:r>
    <w:r>
      <w:rPr>
        <w:noProof/>
      </w:rPr>
      <w:drawing>
        <wp:anchor distT="0" distB="0" distL="0" distR="0" simplePos="0" relativeHeight="251657216" behindDoc="1" locked="0" layoutInCell="1" hidden="0" allowOverlap="1" wp14:anchorId="586678F0" wp14:editId="6E3A746A">
          <wp:simplePos x="0" y="0"/>
          <wp:positionH relativeFrom="column">
            <wp:posOffset>864234</wp:posOffset>
          </wp:positionH>
          <wp:positionV relativeFrom="paragraph">
            <wp:posOffset>-363219</wp:posOffset>
          </wp:positionV>
          <wp:extent cx="3762375" cy="534911"/>
          <wp:effectExtent l="0" t="0" r="0" b="0"/>
          <wp:wrapNone/>
          <wp:docPr id="19850709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62375" cy="53491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CA6DC" w14:textId="77777777" w:rsidR="00496BDC" w:rsidRDefault="00496BDC">
      <w:pPr>
        <w:spacing w:after="0" w:line="240" w:lineRule="auto"/>
      </w:pPr>
      <w:r>
        <w:separator/>
      </w:r>
    </w:p>
  </w:footnote>
  <w:footnote w:type="continuationSeparator" w:id="0">
    <w:p w14:paraId="5CF47A00" w14:textId="77777777" w:rsidR="00496BDC" w:rsidRDefault="00496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354C" w14:textId="77777777" w:rsidR="00EB77E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192E23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27.45pt;height:62.05pt;rotation:315;z-index:-251656192;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A5C2" w14:textId="6A283616" w:rsidR="00EB77E6"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5168" behindDoc="1" locked="0" layoutInCell="1" hidden="0" allowOverlap="1" wp14:anchorId="1A10A5E5" wp14:editId="0BB9119E">
          <wp:simplePos x="0" y="0"/>
          <wp:positionH relativeFrom="margin">
            <wp:posOffset>1821343</wp:posOffset>
          </wp:positionH>
          <wp:positionV relativeFrom="margin">
            <wp:posOffset>-1085849</wp:posOffset>
          </wp:positionV>
          <wp:extent cx="1849684" cy="1040448"/>
          <wp:effectExtent l="0" t="0" r="0" b="0"/>
          <wp:wrapNone/>
          <wp:docPr id="19850709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849684" cy="104044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CEDE" w14:textId="77777777" w:rsidR="00EB77E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390EF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27.45pt;height:62.05pt;rotation:315;z-index:-251657216;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7E6"/>
    <w:rsid w:val="00254DA7"/>
    <w:rsid w:val="00346815"/>
    <w:rsid w:val="00496BDC"/>
    <w:rsid w:val="00825EFE"/>
    <w:rsid w:val="00AE4279"/>
    <w:rsid w:val="00B90E37"/>
    <w:rsid w:val="00E85EDD"/>
    <w:rsid w:val="00EB77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4F0F180"/>
  <w15:docId w15:val="{D992B5A4-32EE-431B-9A06-08C1EA28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844"/>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D31BC"/>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rpodetexto">
    <w:name w:val="Body Text"/>
    <w:basedOn w:val="Normal"/>
    <w:link w:val="CorpodetextoChar"/>
    <w:uiPriority w:val="1"/>
    <w:qFormat/>
    <w:rsid w:val="00FE75BE"/>
    <w:pPr>
      <w:widowControl w:val="0"/>
      <w:autoSpaceDE w:val="0"/>
      <w:autoSpaceDN w:val="0"/>
      <w:spacing w:after="0" w:line="240" w:lineRule="auto"/>
    </w:pPr>
    <w:rPr>
      <w:sz w:val="24"/>
      <w:szCs w:val="24"/>
      <w:lang w:val="pt-PT" w:eastAsia="en-US"/>
    </w:rPr>
  </w:style>
  <w:style w:type="character" w:customStyle="1" w:styleId="CorpodetextoChar">
    <w:name w:val="Corpo de texto Char"/>
    <w:basedOn w:val="Fontepargpadro"/>
    <w:link w:val="Corpodetexto"/>
    <w:uiPriority w:val="1"/>
    <w:rsid w:val="00FE75BE"/>
    <w:rPr>
      <w:sz w:val="24"/>
      <w:szCs w:val="24"/>
      <w:lang w:val="pt-PT" w:eastAsia="en-US"/>
    </w:rPr>
  </w:style>
  <w:style w:type="paragraph" w:customStyle="1" w:styleId="FieldLabel">
    <w:name w:val="FieldLabel"/>
    <w:basedOn w:val="Normal"/>
    <w:rsid w:val="00AD0374"/>
    <w:pPr>
      <w:keepNext/>
      <w:spacing w:after="20"/>
    </w:pPr>
    <w:rPr>
      <w:rFonts w:ascii="Arial" w:eastAsia="Arial" w:hAnsi="Arial" w:cstheme="minorBidi"/>
      <w:b/>
      <w:sz w:val="21"/>
      <w:lang w:val="en-US" w:eastAsia="en-US"/>
    </w:rPr>
  </w:style>
  <w:style w:type="paragraph" w:customStyle="1" w:styleId="FieldLine">
    <w:name w:val="FieldLine"/>
    <w:basedOn w:val="Normal"/>
    <w:rsid w:val="00AD0374"/>
    <w:pPr>
      <w:spacing w:after="20"/>
    </w:pPr>
    <w:rPr>
      <w:rFonts w:ascii="Arial" w:eastAsia="Arial" w:hAnsi="Arial" w:cstheme="minorBidi"/>
      <w:sz w:val="20"/>
      <w:lang w:val="en-US" w:eastAsia="en-US"/>
    </w:rPr>
  </w:style>
  <w:style w:type="paragraph" w:customStyle="1" w:styleId="FormOption">
    <w:name w:val="FormOption"/>
    <w:basedOn w:val="Normal"/>
    <w:rsid w:val="00AD0374"/>
    <w:pPr>
      <w:spacing w:after="20"/>
    </w:pPr>
    <w:rPr>
      <w:rFonts w:ascii="Arial" w:eastAsia="Arial" w:hAnsi="Arial" w:cstheme="minorBidi"/>
      <w:sz w:val="20"/>
      <w:lang w:val="en-US" w:eastAsia="en-US"/>
    </w:rPr>
  </w:style>
  <w:style w:type="paragraph" w:customStyle="1" w:styleId="Instruction">
    <w:name w:val="Instruction"/>
    <w:basedOn w:val="Normal"/>
    <w:rsid w:val="00AD0374"/>
    <w:pPr>
      <w:spacing w:after="80"/>
    </w:pPr>
    <w:rPr>
      <w:rFonts w:ascii="Arial" w:eastAsia="Arial" w:hAnsi="Arial" w:cstheme="minorBidi"/>
      <w:i/>
      <w:sz w:val="19"/>
      <w:lang w:val="en-US" w:eastAsia="en-US"/>
    </w:rPr>
  </w:style>
  <w:style w:type="paragraph" w:customStyle="1" w:styleId="Clause">
    <w:name w:val="Clause"/>
    <w:rsid w:val="00830EF0"/>
    <w:pPr>
      <w:spacing w:after="80"/>
      <w:jc w:val="both"/>
    </w:pPr>
    <w:rPr>
      <w:rFonts w:ascii="Arial" w:eastAsia="Arial" w:hAnsi="Arial" w:cstheme="minorBidi"/>
      <w:sz w:val="21"/>
      <w:lang w:val="en-US" w:eastAsia="en-US"/>
    </w:rPr>
  </w:style>
  <w:style w:type="paragraph" w:customStyle="1" w:styleId="ItemLegal">
    <w:name w:val="ItemLegal"/>
    <w:rsid w:val="00830EF0"/>
    <w:pPr>
      <w:spacing w:after="60" w:line="252" w:lineRule="auto"/>
      <w:ind w:left="369" w:hanging="369"/>
      <w:jc w:val="both"/>
    </w:pPr>
    <w:rPr>
      <w:rFonts w:ascii="Arial" w:eastAsia="Arial" w:hAnsi="Arial" w:cstheme="minorBidi"/>
      <w:sz w:val="21"/>
      <w:lang w:val="en-US" w:eastAsia="en-US"/>
    </w:rPr>
  </w:style>
  <w:style w:type="paragraph" w:styleId="Subttulo">
    <w:name w:val="Subtitle"/>
    <w:basedOn w:val="Normal"/>
    <w:next w:val="Normal"/>
    <w:uiPriority w:val="11"/>
    <w:qFormat/>
    <w:rPr>
      <w:color w:val="595959"/>
      <w:sz w:val="28"/>
      <w:szCs w:val="28"/>
    </w:r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nsKAcnwiOHeR47LRlrCNtkeT2Q==">CgMxLjA4AHIhMXJxcmNveFVST3VBcldST3dIMXVVOEVpY2pwWmRxazJ4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2678</Words>
  <Characters>14465</Characters>
  <Application>Microsoft Office Word</Application>
  <DocSecurity>0</DocSecurity>
  <Lines>120</Lines>
  <Paragraphs>34</Paragraphs>
  <ScaleCrop>false</ScaleCrop>
  <Company/>
  <LinksUpToDate>false</LinksUpToDate>
  <CharactersWithSpaces>17109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Emerson Davis Bento Eufrasio</cp:lastModifiedBy>
  <cp:revision>4</cp:revision>
  <dcterms:created xsi:type="dcterms:W3CDTF">2026-08-18T19:49:00Z</dcterms:created>
  <dcterms:modified xsi:type="dcterms:W3CDTF">2026-09-14T20:51:00Z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